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 w:val="30"/>
        </w:rPr>
      </w:pPr>
    </w:p>
    <w:p>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年度）</w:t>
      </w:r>
    </w:p>
    <w:p>
      <w:pPr>
        <w:spacing w:line="360" w:lineRule="auto"/>
        <w:jc w:val="center"/>
        <w:rPr>
          <w:rFonts w:eastAsia="仿宋_GB2312"/>
          <w:sz w:val="30"/>
        </w:rPr>
      </w:pPr>
    </w:p>
    <w:p>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苏州市企业服务中心</w:t>
      </w:r>
    </w:p>
    <w:p>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pPr>
        <w:spacing w:line="360" w:lineRule="auto"/>
        <w:ind w:firstLine="480" w:firstLineChars="200"/>
        <w:rPr>
          <w:rFonts w:ascii="宋体" w:hAnsi="宋体" w:cs="宋体"/>
          <w:sz w:val="24"/>
        </w:rPr>
      </w:pPr>
      <w:r>
        <w:rPr>
          <w:rFonts w:hint="eastAsia" w:ascii="宋体" w:hAnsi="宋体" w:cs="宋体"/>
          <w:sz w:val="24"/>
        </w:rPr>
        <w:t>运营苏州市智能制造融合发展中心，2025年接待400多场参观，提高了党政团体、企事业单位参观体验，参观满意度达到99.92%。开展惠企服务活动，举办各级各类服务活动近68场次，服务企业3068人次；开展企业政策辅导24场次；运营苏州市企业服务云平台，新增注册企业1.7万户，新增网站点击量55万次，政策覆盖率不低于网站清单所有来源网址发布政策数量的95%，政策分解数量不低于抓取政策数量的50%，新增政策匹配次数5.9万次，新增图解131条。</w:t>
      </w:r>
    </w:p>
    <w:p>
      <w:pPr>
        <w:spacing w:line="360" w:lineRule="auto"/>
        <w:ind w:left="600"/>
        <w:rPr>
          <w:rFonts w:ascii="黑体" w:hAnsi="黑体" w:eastAsia="黑体"/>
          <w:sz w:val="30"/>
        </w:rPr>
      </w:pPr>
      <w:r>
        <w:rPr>
          <w:rFonts w:hint="eastAsia" w:ascii="黑体" w:hAnsi="黑体" w:eastAsia="黑体"/>
          <w:sz w:val="30"/>
        </w:rPr>
        <w:t>三、部门（单位）概况</w:t>
      </w:r>
    </w:p>
    <w:p>
      <w:pPr>
        <w:spacing w:line="360" w:lineRule="auto"/>
        <w:ind w:firstLine="480" w:firstLineChars="200"/>
        <w:rPr>
          <w:rFonts w:ascii="宋体" w:hAnsi="宋体" w:cs="宋体"/>
          <w:sz w:val="24"/>
        </w:rPr>
      </w:pPr>
      <w:r>
        <w:rPr>
          <w:rFonts w:hint="eastAsia" w:ascii="宋体" w:hAnsi="宋体" w:cs="宋体"/>
          <w:sz w:val="24"/>
        </w:rPr>
        <w:t>苏州市企业服务中心位于高新区泰山路601号，中心内设主任室、副主任室、办公室、融合科；事业编制数11，公益性岗位1人，实际在职11人；单位的主要职能为企业提供技术支持，推进全市智能制造融合发展；企业政策咨询、金融支持、对外交流等；企业服务体系建设研究；企业经济运行态势监测和分析；企业投诉举报受理；苏州市工业展示馆展陈工作指导；完成上级主管部门交办的其他事项。中心以建设国家级工业互联网平台应用创新体验中心为契机，将苏州市智能制造融合发展中心打造为全国领先的智能制造产业高地，推动苏州智能制造新发展。2025年，下达年初预算数919.07万元，全年预算数891.91万元，决算数890.16万元。2025年，基本支出决算数441.88万元，项目支出决算数448.28万元；“三公”经费财政拨款支出1.03万元，主要是公务用车运行维护费。按支出性质，人员经费占财政拨款支出的45.05%，公用经费占财政拨款支出的4.6%，项目支出占财政拨款支出的50.35%。按经济分类，工资福利支出占财政拨款支出41.64%，商品和服务支出占财政拨款支出的54.32%，资本性支出占财政拨款支出的0.64%，对个人和家庭的补助占财政拨款支出的3.4%。</w:t>
      </w:r>
    </w:p>
    <w:p>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pPr>
        <w:spacing w:line="360" w:lineRule="auto"/>
        <w:ind w:firstLine="480" w:firstLineChars="200"/>
        <w:rPr>
          <w:rFonts w:hint="eastAsia" w:ascii="宋体" w:hAnsi="宋体" w:cs="宋体"/>
          <w:sz w:val="24"/>
        </w:rPr>
      </w:pPr>
      <w:r>
        <w:rPr>
          <w:rFonts w:hint="eastAsia" w:ascii="宋体" w:hAnsi="宋体" w:cs="宋体"/>
          <w:sz w:val="24"/>
          <w:lang w:val="en-US" w:eastAsia="zh-CN"/>
        </w:rPr>
        <w:t>融合中心</w:t>
      </w:r>
      <w:r>
        <w:rPr>
          <w:rFonts w:hint="eastAsia" w:ascii="宋体" w:hAnsi="宋体" w:cs="宋体"/>
          <w:sz w:val="24"/>
        </w:rPr>
        <w:t xml:space="preserve">展厅2025年引入独角兽企业魔门塔、协鑫光电，专精特新“小巨人”企业博云科技、联讯仪器等数十家标杆企业，新增人工智能大模型、行业应用等典型案例80多个，同步完成38轮次讲解内容优化，加速形成一批带动效应好、示范作用强、可复制推广的“苏州智造方案”。截至目前，累计接待全国各省市、“一带一路”沿线国家参观团队2736批次，超8万人次，答复参访人员提问2.8万余次。今年接待400多场次，21296人次，现场答疑超1200次。    </w:t>
      </w:r>
    </w:p>
    <w:p>
      <w:pPr>
        <w:spacing w:line="360" w:lineRule="auto"/>
        <w:ind w:firstLine="480" w:firstLineChars="200"/>
        <w:rPr>
          <w:rFonts w:hint="eastAsia" w:ascii="宋体" w:hAnsi="宋体" w:cs="宋体"/>
          <w:sz w:val="24"/>
        </w:rPr>
      </w:pPr>
      <w:r>
        <w:rPr>
          <w:rFonts w:hint="eastAsia" w:ascii="宋体" w:hAnsi="宋体" w:cs="宋体"/>
          <w:sz w:val="24"/>
        </w:rPr>
        <w:t xml:space="preserve">持续深耕“百园万企”服务行、人才服务“三走进”、苏州市“专精特新”企业之家服务品牌。全年高频举办活动68场，服务企业2517家次，总参与达3068人次（场均45人次），企业重复参与率近15%，服务粘性显著增强；回收满意度调查表1102份，满意率达100%，“专精特新企业之家”入选2025年“服务企业在基层”典型案例，服务规模与覆盖广度同步跃升。    </w:t>
      </w:r>
    </w:p>
    <w:p>
      <w:pPr>
        <w:spacing w:line="360" w:lineRule="auto"/>
        <w:ind w:firstLine="480" w:firstLineChars="200"/>
        <w:rPr>
          <w:rFonts w:ascii="宋体" w:hAnsi="宋体" w:cs="宋体"/>
          <w:sz w:val="24"/>
        </w:rPr>
      </w:pPr>
      <w:r>
        <w:rPr>
          <w:rFonts w:hint="eastAsia" w:ascii="宋体" w:hAnsi="宋体" w:cs="宋体"/>
          <w:sz w:val="24"/>
        </w:rPr>
        <w:t>线上平台服务功能持续升级。“政策计算器”持续完善政策标签与企业标签体系，提升精准匹配计算，生成惠企政策最优路径。重点研发并引入AI智能分解技术，加快政策审核与分解流程。扩充优化政策数据采集范围，收录网址达498个。通过搭载“苏商通”、“助企通”平台，在资源汇聚与服务效能提升方面不断进步。截至当前，已累计汇集政策2.5万余条，新增2984条；注册企业总数突破11.8万家，规上工业企业占比近42%，新增企业17734家，同比增长10%。</w:t>
      </w:r>
    </w:p>
    <w:p>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pPr>
        <w:spacing w:line="360" w:lineRule="auto"/>
        <w:ind w:firstLine="480" w:firstLineChars="200"/>
        <w:rPr>
          <w:rFonts w:hint="eastAsia" w:ascii="宋体" w:hAnsi="宋体" w:cs="宋体"/>
          <w:sz w:val="24"/>
          <w:lang w:val="en-US" w:eastAsia="zh-CN"/>
        </w:rPr>
      </w:pPr>
      <w:r>
        <w:rPr>
          <w:rFonts w:hint="eastAsia" w:ascii="宋体" w:hAnsi="宋体" w:cs="宋体"/>
          <w:sz w:val="24"/>
        </w:rPr>
        <w:t xml:space="preserve">融合中心运营以来，在智能制造领域的示范引领作用还不够，对企业成长的支撑力度还需进一步加强，且AI应用场景还需更加多样化。接下来，中心将总结经验，深入开展绩效管理，加强绩效结果应用，推动各项业务更上一层楼。主要思路和举措是：    </w:t>
      </w:r>
      <w:r>
        <w:rPr>
          <w:rFonts w:hint="eastAsia" w:ascii="宋体" w:hAnsi="宋体" w:cs="宋体"/>
          <w:sz w:val="24"/>
          <w:lang w:val="en-US" w:eastAsia="zh-CN"/>
        </w:rPr>
        <w:t xml:space="preserve">  </w:t>
      </w:r>
    </w:p>
    <w:p>
      <w:pPr>
        <w:numPr>
          <w:ilvl w:val="0"/>
          <w:numId w:val="1"/>
        </w:numPr>
        <w:spacing w:line="360" w:lineRule="auto"/>
        <w:ind w:firstLine="480" w:firstLineChars="200"/>
        <w:rPr>
          <w:rFonts w:hint="eastAsia" w:ascii="宋体" w:hAnsi="宋体" w:cs="宋体"/>
          <w:sz w:val="24"/>
        </w:rPr>
      </w:pPr>
      <w:r>
        <w:rPr>
          <w:rFonts w:hint="eastAsia" w:ascii="宋体" w:hAnsi="宋体" w:cs="宋体"/>
          <w:sz w:val="24"/>
        </w:rPr>
        <w:t xml:space="preserve">强化示范引领，推动制造业数智化改造升级。以展厅标杆案例为牵引，通过深度讲解、精准对接推进中小企业实现从“看案例”到“敢改造、会改造、能见效”梯次跃迁。聚焦AI大模型应用、轻量化改造、数字孪生协同、数据要素驱动四大场景，遴选导入一批大型标杆、中小企业样板、服务商赋能三类主体，形成可拆解、可迁移、可落地的转型范式。合力华东分所推进制造业数字化转型促进中心建设工作，构建“立足苏州、服务长三角、辐射全国”服务体系。聚焦制造业企业数字化转型痛点与需求，举办5场惠企活动，从技术赋能、管理优化、生态构建等多个维度提供精准服务，依托链式转型模式，促进产业链上下游企业协同创新。     </w:t>
      </w:r>
    </w:p>
    <w:p>
      <w:pPr>
        <w:numPr>
          <w:ilvl w:val="0"/>
          <w:numId w:val="1"/>
        </w:numPr>
        <w:spacing w:line="360" w:lineRule="auto"/>
        <w:ind w:left="0" w:leftChars="0" w:firstLine="480" w:firstLineChars="200"/>
        <w:rPr>
          <w:rFonts w:hint="eastAsia" w:ascii="宋体" w:hAnsi="宋体" w:cs="宋体"/>
          <w:sz w:val="24"/>
        </w:rPr>
      </w:pPr>
      <w:r>
        <w:rPr>
          <w:rFonts w:hint="eastAsia" w:ascii="宋体" w:hAnsi="宋体" w:cs="宋体"/>
          <w:sz w:val="24"/>
        </w:rPr>
        <w:t xml:space="preserve">强化服务支撑，高水平赋能企业梯度成长。持续推进苏州市供应链（应用场景）对接服务中心建设，进一步加强与省工信厅沟通对接，积极落实2026全省“一起益企”中小企业公共服务重点任务和服务行动。扎实推进服务企业、服务项目、服务基层“三服务”工作，及时解决企业实际问题，助力企业降成本、增订单、拓市场。进一步发挥“专精特新企业之家”赋能作用，每月开展主题活动，联合高校院所举办“技术攻坚沙 龙”，组织“标杆访学”赴专精特新“小巨人”企业现场对标，联动金融机构创设“投融资直通车”，形成产学研攻关、标杆引领、金融支撑一体化服务。承办第十一届“创客中国” 江苏省中小企业创新创业大赛苏州区域赛，推动优秀项目在苏 “即赛即转、即转即产”。强化市县区三级联动，纵深拓展服务网络，优化专精特新“小分队”运行机制，强化人员能力培训，加强申报前期政策解读规划、中期“小分队”一对一精准 问诊、后期动态跟踪培育。     </w:t>
      </w:r>
    </w:p>
    <w:p>
      <w:pPr>
        <w:numPr>
          <w:numId w:val="0"/>
        </w:numPr>
        <w:spacing w:line="360" w:lineRule="auto"/>
        <w:ind w:firstLine="480" w:firstLineChars="200"/>
        <w:rPr>
          <w:rFonts w:ascii="宋体" w:hAnsi="宋体" w:cs="宋体"/>
          <w:sz w:val="24"/>
        </w:rPr>
      </w:pPr>
      <w:r>
        <w:rPr>
          <w:rFonts w:hint="eastAsia" w:ascii="宋体" w:hAnsi="宋体" w:cs="宋体"/>
          <w:sz w:val="24"/>
        </w:rPr>
        <w:t>（三）强化AI应用，助力企业精准享受政策服务。推动“政策计算器”向政策推广与应用方向不断延展。强化数据归集、模型算法及大数据分析，实现AI智能搜索、精准匹配与个性化推送。做好存量企业维护，拓展增量企业规模。线上线下同步推进“政策计算器”宣传推广工作，线上依托新媒体矩阵常态化推送政策解读、操作指引等内容，持续提升平台知晓度与注册率；线下融合惠企活动开展实操培训与现场指导，力争新增注册企业1.2万家，新增网站点击量40万次，区县板块企业登录5万次，政策采集数量不低于覆盖网址的95%，完成5万次政策匹配。健全7×12小时在线客服支撑体系，全面提升平台活跃度与覆盖广度。</w:t>
      </w:r>
    </w:p>
    <w:p>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pPr>
        <w:spacing w:line="360" w:lineRule="auto"/>
        <w:ind w:firstLine="480" w:firstLineChars="200"/>
        <w:rPr>
          <w:rFonts w:ascii="宋体" w:hAnsi="宋体" w:cs="宋体"/>
          <w:sz w:val="24"/>
        </w:rPr>
      </w:pPr>
      <w:r>
        <w:rPr>
          <w:rFonts w:hint="eastAsia" w:ascii="宋体" w:hAnsi="宋体" w:cs="宋体"/>
          <w:sz w:val="24"/>
        </w:rPr>
        <w:t>将本次绩效评价结果作为加强资金管理、完善相关制度建设的重要依据。将根据绩效自评结果，进一步总结经验，提高项目资金使用效率。在省预决算公开统一平台和部门网站公开绩效自评结果。</w:t>
      </w:r>
    </w:p>
    <w:p>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pPr>
        <w:numPr>
          <w:ilvl w:val="0"/>
          <w:numId w:val="2"/>
        </w:numPr>
        <w:spacing w:line="360" w:lineRule="auto"/>
        <w:ind w:left="600"/>
        <w:rPr>
          <w:rFonts w:ascii="黑体" w:hAnsi="黑体" w:eastAsia="黑体"/>
          <w:sz w:val="30"/>
        </w:rPr>
      </w:pPr>
      <w:r>
        <w:rPr>
          <w:rFonts w:hint="eastAsia" w:ascii="黑体" w:hAnsi="黑体" w:eastAsia="黑体"/>
          <w:sz w:val="30"/>
        </w:rPr>
        <w:t>预算信息</w:t>
      </w: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919.07</w:t>
            </w:r>
          </w:p>
        </w:tc>
        <w:tc>
          <w:tcPr>
            <w:tcW w:w="2268" w:type="dxa"/>
            <w:vAlign w:val="center"/>
          </w:tcPr>
          <w:p>
            <w:pPr>
              <w:widowControl/>
              <w:jc w:val="center"/>
              <w:rPr>
                <w:rFonts w:ascii="宋体" w:hAnsi="宋体" w:cs="宋体"/>
                <w:sz w:val="24"/>
              </w:rPr>
            </w:pPr>
            <w:r>
              <w:rPr>
                <w:rFonts w:hint="eastAsia" w:ascii="宋体" w:hAnsi="宋体" w:cs="宋体"/>
                <w:sz w:val="24"/>
              </w:rPr>
              <w:t>-27.16</w:t>
            </w:r>
          </w:p>
        </w:tc>
        <w:tc>
          <w:tcPr>
            <w:tcW w:w="2268" w:type="dxa"/>
            <w:vAlign w:val="center"/>
          </w:tcPr>
          <w:p>
            <w:pPr>
              <w:widowControl/>
              <w:jc w:val="center"/>
              <w:rPr>
                <w:rFonts w:ascii="宋体" w:hAnsi="宋体" w:cs="宋体"/>
                <w:sz w:val="24"/>
              </w:rPr>
            </w:pPr>
            <w:r>
              <w:rPr>
                <w:rFonts w:hint="eastAsia" w:ascii="宋体" w:hAnsi="宋体" w:cs="宋体"/>
                <w:sz w:val="24"/>
              </w:rPr>
              <w:t>891.91</w:t>
            </w:r>
          </w:p>
        </w:tc>
        <w:tc>
          <w:tcPr>
            <w:tcW w:w="2268" w:type="dxa"/>
            <w:vAlign w:val="center"/>
          </w:tcPr>
          <w:p>
            <w:pPr>
              <w:widowControl/>
              <w:jc w:val="center"/>
              <w:rPr>
                <w:rFonts w:ascii="宋体" w:hAnsi="宋体" w:cs="宋体"/>
                <w:sz w:val="24"/>
              </w:rPr>
            </w:pPr>
            <w:r>
              <w:rPr>
                <w:rFonts w:hint="eastAsia" w:ascii="宋体" w:hAnsi="宋体" w:cs="宋体"/>
                <w:sz w:val="24"/>
              </w:rPr>
              <w:t>890.16</w:t>
            </w:r>
          </w:p>
        </w:tc>
        <w:tc>
          <w:tcPr>
            <w:tcW w:w="2268" w:type="dxa"/>
            <w:vAlign w:val="center"/>
          </w:tcPr>
          <w:p>
            <w:pPr>
              <w:widowControl/>
              <w:jc w:val="center"/>
              <w:rPr>
                <w:rFonts w:ascii="宋体" w:hAnsi="宋体" w:cs="宋体"/>
                <w:sz w:val="24"/>
              </w:rPr>
            </w:pPr>
            <w:r>
              <w:rPr>
                <w:rFonts w:hint="eastAsia" w:ascii="宋体" w:hAnsi="宋体" w:cs="宋体"/>
                <w:sz w:val="24"/>
              </w:rPr>
              <w:t>99.80%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398.15</w:t>
            </w:r>
          </w:p>
        </w:tc>
        <w:tc>
          <w:tcPr>
            <w:tcW w:w="2268" w:type="dxa"/>
            <w:vAlign w:val="center"/>
          </w:tcPr>
          <w:p>
            <w:pPr>
              <w:widowControl/>
              <w:jc w:val="center"/>
              <w:rPr>
                <w:rFonts w:ascii="宋体" w:hAnsi="宋体" w:cs="宋体"/>
                <w:sz w:val="24"/>
              </w:rPr>
            </w:pPr>
            <w:r>
              <w:rPr>
                <w:rFonts w:hint="eastAsia" w:ascii="宋体" w:hAnsi="宋体" w:cs="宋体"/>
                <w:sz w:val="24"/>
              </w:rPr>
              <w:t>43.73</w:t>
            </w:r>
          </w:p>
        </w:tc>
        <w:tc>
          <w:tcPr>
            <w:tcW w:w="2268" w:type="dxa"/>
            <w:vAlign w:val="center"/>
          </w:tcPr>
          <w:p>
            <w:pPr>
              <w:widowControl/>
              <w:jc w:val="center"/>
              <w:rPr>
                <w:rFonts w:ascii="宋体" w:hAnsi="宋体" w:cs="宋体"/>
                <w:sz w:val="24"/>
              </w:rPr>
            </w:pPr>
            <w:r>
              <w:rPr>
                <w:rFonts w:hint="eastAsia" w:ascii="宋体" w:hAnsi="宋体" w:cs="宋体"/>
                <w:sz w:val="24"/>
              </w:rPr>
              <w:t>441.88</w:t>
            </w:r>
          </w:p>
        </w:tc>
        <w:tc>
          <w:tcPr>
            <w:tcW w:w="2268" w:type="dxa"/>
            <w:vAlign w:val="center"/>
          </w:tcPr>
          <w:p>
            <w:pPr>
              <w:widowControl/>
              <w:jc w:val="center"/>
              <w:rPr>
                <w:rFonts w:ascii="宋体" w:hAnsi="宋体" w:cs="宋体"/>
                <w:sz w:val="24"/>
              </w:rPr>
            </w:pPr>
            <w:r>
              <w:rPr>
                <w:rFonts w:hint="eastAsia" w:ascii="宋体" w:hAnsi="宋体" w:cs="宋体"/>
                <w:sz w:val="24"/>
              </w:rPr>
              <w:t>441.88</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520.92</w:t>
            </w:r>
          </w:p>
        </w:tc>
        <w:tc>
          <w:tcPr>
            <w:tcW w:w="2268" w:type="dxa"/>
            <w:vAlign w:val="center"/>
          </w:tcPr>
          <w:p>
            <w:pPr>
              <w:widowControl/>
              <w:jc w:val="center"/>
              <w:rPr>
                <w:rFonts w:ascii="宋体" w:hAnsi="宋体" w:cs="宋体"/>
                <w:sz w:val="24"/>
              </w:rPr>
            </w:pPr>
            <w:r>
              <w:rPr>
                <w:rFonts w:hint="eastAsia" w:ascii="宋体" w:hAnsi="宋体" w:cs="宋体"/>
                <w:sz w:val="24"/>
              </w:rPr>
              <w:t>-70.89</w:t>
            </w:r>
          </w:p>
        </w:tc>
        <w:tc>
          <w:tcPr>
            <w:tcW w:w="2268" w:type="dxa"/>
            <w:vAlign w:val="center"/>
          </w:tcPr>
          <w:p>
            <w:pPr>
              <w:widowControl/>
              <w:jc w:val="center"/>
              <w:rPr>
                <w:rFonts w:ascii="宋体" w:hAnsi="宋体" w:cs="宋体"/>
                <w:sz w:val="24"/>
              </w:rPr>
            </w:pPr>
            <w:r>
              <w:rPr>
                <w:rFonts w:hint="eastAsia" w:ascii="宋体" w:hAnsi="宋体" w:cs="宋体"/>
                <w:sz w:val="24"/>
              </w:rPr>
              <w:t>450.03</w:t>
            </w:r>
          </w:p>
        </w:tc>
        <w:tc>
          <w:tcPr>
            <w:tcW w:w="2268" w:type="dxa"/>
            <w:vAlign w:val="center"/>
          </w:tcPr>
          <w:p>
            <w:pPr>
              <w:widowControl/>
              <w:jc w:val="center"/>
              <w:rPr>
                <w:rFonts w:ascii="宋体" w:hAnsi="宋体" w:cs="宋体"/>
                <w:sz w:val="24"/>
              </w:rPr>
            </w:pPr>
            <w:r>
              <w:rPr>
                <w:rFonts w:hint="eastAsia" w:ascii="宋体" w:hAnsi="宋体" w:cs="宋体"/>
                <w:sz w:val="24"/>
              </w:rPr>
              <w:t>448.28</w:t>
            </w:r>
          </w:p>
        </w:tc>
        <w:tc>
          <w:tcPr>
            <w:tcW w:w="2268" w:type="dxa"/>
            <w:vAlign w:val="center"/>
          </w:tcPr>
          <w:p>
            <w:pPr>
              <w:widowControl/>
              <w:jc w:val="center"/>
              <w:rPr>
                <w:rFonts w:ascii="宋体" w:hAnsi="宋体" w:cs="宋体"/>
                <w:sz w:val="24"/>
              </w:rPr>
            </w:pPr>
            <w:r>
              <w:rPr>
                <w:rFonts w:hint="eastAsia" w:ascii="宋体" w:hAnsi="宋体" w:cs="宋体"/>
                <w:sz w:val="24"/>
              </w:rPr>
              <w:t>99.61%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融合中心展厅维护专项费用</w:t>
            </w:r>
          </w:p>
        </w:tc>
        <w:tc>
          <w:tcPr>
            <w:tcW w:w="2268" w:type="dxa"/>
            <w:vAlign w:val="center"/>
          </w:tcPr>
          <w:p>
            <w:pPr>
              <w:widowControl/>
              <w:jc w:val="center"/>
              <w:rPr>
                <w:rFonts w:ascii="宋体" w:hAnsi="宋体" w:cs="宋体"/>
                <w:kern w:val="0"/>
                <w:sz w:val="24"/>
              </w:rPr>
            </w:pPr>
            <w:r>
              <w:rPr>
                <w:rFonts w:hint="eastAsia" w:ascii="宋体" w:hAnsi="宋体" w:cs="宋体"/>
                <w:sz w:val="24"/>
              </w:rPr>
              <w:t>30</w:t>
            </w:r>
          </w:p>
        </w:tc>
        <w:tc>
          <w:tcPr>
            <w:tcW w:w="2268" w:type="dxa"/>
            <w:vAlign w:val="center"/>
          </w:tcPr>
          <w:p>
            <w:pPr>
              <w:widowControl/>
              <w:jc w:val="center"/>
              <w:rPr>
                <w:rFonts w:ascii="宋体" w:hAnsi="宋体" w:cs="宋体"/>
                <w:sz w:val="24"/>
              </w:rPr>
            </w:pPr>
            <w:r>
              <w:rPr>
                <w:rFonts w:hint="eastAsia" w:ascii="宋体" w:hAnsi="宋体" w:cs="宋体"/>
                <w:sz w:val="24"/>
              </w:rPr>
              <w:t>-3.52</w:t>
            </w:r>
          </w:p>
        </w:tc>
        <w:tc>
          <w:tcPr>
            <w:tcW w:w="2268" w:type="dxa"/>
            <w:vAlign w:val="center"/>
          </w:tcPr>
          <w:p>
            <w:pPr>
              <w:widowControl/>
              <w:jc w:val="center"/>
              <w:rPr>
                <w:rFonts w:ascii="宋体" w:hAnsi="宋体" w:cs="宋体"/>
                <w:sz w:val="24"/>
              </w:rPr>
            </w:pPr>
            <w:r>
              <w:rPr>
                <w:rFonts w:hint="eastAsia" w:ascii="宋体" w:hAnsi="宋体" w:cs="宋体"/>
                <w:sz w:val="24"/>
              </w:rPr>
              <w:t>26.48</w:t>
            </w:r>
          </w:p>
        </w:tc>
        <w:tc>
          <w:tcPr>
            <w:tcW w:w="2268" w:type="dxa"/>
            <w:vAlign w:val="center"/>
          </w:tcPr>
          <w:p>
            <w:pPr>
              <w:widowControl/>
              <w:jc w:val="center"/>
              <w:rPr>
                <w:rFonts w:ascii="宋体" w:hAnsi="宋体" w:cs="宋体"/>
                <w:sz w:val="24"/>
              </w:rPr>
            </w:pPr>
            <w:r>
              <w:rPr>
                <w:rFonts w:hint="eastAsia" w:ascii="宋体" w:hAnsi="宋体" w:cs="宋体"/>
                <w:sz w:val="24"/>
              </w:rPr>
              <w:t>26.48</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企业服务总入口运营费</w:t>
            </w:r>
          </w:p>
        </w:tc>
        <w:tc>
          <w:tcPr>
            <w:tcW w:w="2268" w:type="dxa"/>
            <w:vAlign w:val="center"/>
          </w:tcPr>
          <w:p>
            <w:pPr>
              <w:widowControl/>
              <w:jc w:val="center"/>
              <w:rPr>
                <w:rFonts w:ascii="宋体" w:hAnsi="宋体" w:cs="宋体"/>
                <w:kern w:val="0"/>
                <w:sz w:val="24"/>
              </w:rPr>
            </w:pPr>
            <w:r>
              <w:rPr>
                <w:rFonts w:hint="eastAsia" w:ascii="宋体" w:hAnsi="宋体" w:cs="宋体"/>
                <w:sz w:val="24"/>
              </w:rPr>
              <w:t>40</w:t>
            </w:r>
          </w:p>
        </w:tc>
        <w:tc>
          <w:tcPr>
            <w:tcW w:w="2268" w:type="dxa"/>
            <w:vAlign w:val="center"/>
          </w:tcPr>
          <w:p>
            <w:pPr>
              <w:widowControl/>
              <w:jc w:val="center"/>
              <w:rPr>
                <w:rFonts w:ascii="宋体" w:hAnsi="宋体" w:cs="宋体"/>
                <w:sz w:val="24"/>
              </w:rPr>
            </w:pPr>
            <w:r>
              <w:rPr>
                <w:rFonts w:hint="eastAsia" w:ascii="宋体" w:hAnsi="宋体" w:cs="宋体"/>
                <w:sz w:val="24"/>
              </w:rPr>
              <w:t>-0.2</w:t>
            </w:r>
          </w:p>
        </w:tc>
        <w:tc>
          <w:tcPr>
            <w:tcW w:w="2268" w:type="dxa"/>
            <w:vAlign w:val="center"/>
          </w:tcPr>
          <w:p>
            <w:pPr>
              <w:widowControl/>
              <w:jc w:val="center"/>
              <w:rPr>
                <w:rFonts w:ascii="宋体" w:hAnsi="宋体" w:cs="宋体"/>
                <w:sz w:val="24"/>
              </w:rPr>
            </w:pPr>
            <w:r>
              <w:rPr>
                <w:rFonts w:hint="eastAsia" w:ascii="宋体" w:hAnsi="宋体" w:cs="宋体"/>
                <w:sz w:val="24"/>
              </w:rPr>
              <w:t>39.8</w:t>
            </w:r>
          </w:p>
        </w:tc>
        <w:tc>
          <w:tcPr>
            <w:tcW w:w="2268" w:type="dxa"/>
            <w:vAlign w:val="center"/>
          </w:tcPr>
          <w:p>
            <w:pPr>
              <w:widowControl/>
              <w:jc w:val="center"/>
              <w:rPr>
                <w:rFonts w:ascii="宋体" w:hAnsi="宋体" w:cs="宋体"/>
                <w:sz w:val="24"/>
              </w:rPr>
            </w:pPr>
            <w:r>
              <w:rPr>
                <w:rFonts w:hint="eastAsia" w:ascii="宋体" w:hAnsi="宋体" w:cs="宋体"/>
                <w:sz w:val="24"/>
              </w:rPr>
              <w:t>39.8</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房屋租赁费</w:t>
            </w:r>
          </w:p>
        </w:tc>
        <w:tc>
          <w:tcPr>
            <w:tcW w:w="2268" w:type="dxa"/>
            <w:vAlign w:val="center"/>
          </w:tcPr>
          <w:p>
            <w:pPr>
              <w:widowControl/>
              <w:jc w:val="center"/>
              <w:rPr>
                <w:rFonts w:ascii="宋体" w:hAnsi="宋体" w:cs="宋体"/>
                <w:kern w:val="0"/>
                <w:sz w:val="24"/>
              </w:rPr>
            </w:pPr>
            <w:r>
              <w:rPr>
                <w:rFonts w:hint="eastAsia" w:ascii="宋体" w:hAnsi="宋体" w:cs="宋体"/>
                <w:sz w:val="24"/>
              </w:rPr>
              <w:t>101.24</w:t>
            </w:r>
          </w:p>
        </w:tc>
        <w:tc>
          <w:tcPr>
            <w:tcW w:w="2268" w:type="dxa"/>
            <w:vAlign w:val="center"/>
          </w:tcPr>
          <w:p>
            <w:pPr>
              <w:widowControl/>
              <w:jc w:val="center"/>
              <w:rPr>
                <w:rFonts w:ascii="宋体" w:hAnsi="宋体" w:cs="宋体"/>
                <w:sz w:val="24"/>
              </w:rPr>
            </w:pPr>
            <w:r>
              <w:rPr>
                <w:rFonts w:hint="eastAsia" w:ascii="宋体" w:hAnsi="宋体" w:cs="宋体"/>
                <w:sz w:val="24"/>
              </w:rPr>
              <w:t>-101.24</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NaN%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展厅运营管理费用</w:t>
            </w:r>
          </w:p>
        </w:tc>
        <w:tc>
          <w:tcPr>
            <w:tcW w:w="2268" w:type="dxa"/>
            <w:vAlign w:val="center"/>
          </w:tcPr>
          <w:p>
            <w:pPr>
              <w:widowControl/>
              <w:jc w:val="center"/>
              <w:rPr>
                <w:rFonts w:ascii="宋体" w:hAnsi="宋体" w:cs="宋体"/>
                <w:kern w:val="0"/>
                <w:sz w:val="24"/>
              </w:rPr>
            </w:pPr>
            <w:r>
              <w:rPr>
                <w:rFonts w:hint="eastAsia" w:ascii="宋体" w:hAnsi="宋体" w:cs="宋体"/>
                <w:sz w:val="24"/>
              </w:rPr>
              <w:t>155</w:t>
            </w:r>
          </w:p>
        </w:tc>
        <w:tc>
          <w:tcPr>
            <w:tcW w:w="2268" w:type="dxa"/>
            <w:vAlign w:val="center"/>
          </w:tcPr>
          <w:p>
            <w:pPr>
              <w:widowControl/>
              <w:jc w:val="center"/>
              <w:rPr>
                <w:rFonts w:ascii="宋体" w:hAnsi="宋体" w:cs="宋体"/>
                <w:sz w:val="24"/>
              </w:rPr>
            </w:pPr>
            <w:r>
              <w:rPr>
                <w:rFonts w:hint="eastAsia" w:ascii="宋体" w:hAnsi="宋体" w:cs="宋体"/>
                <w:sz w:val="24"/>
              </w:rPr>
              <w:t>-0.2</w:t>
            </w:r>
          </w:p>
        </w:tc>
        <w:tc>
          <w:tcPr>
            <w:tcW w:w="2268" w:type="dxa"/>
            <w:vAlign w:val="center"/>
          </w:tcPr>
          <w:p>
            <w:pPr>
              <w:widowControl/>
              <w:jc w:val="center"/>
              <w:rPr>
                <w:rFonts w:ascii="宋体" w:hAnsi="宋体" w:cs="宋体"/>
                <w:sz w:val="24"/>
              </w:rPr>
            </w:pPr>
            <w:r>
              <w:rPr>
                <w:rFonts w:hint="eastAsia" w:ascii="宋体" w:hAnsi="宋体" w:cs="宋体"/>
                <w:sz w:val="24"/>
              </w:rPr>
              <w:t>154.8</w:t>
            </w:r>
          </w:p>
        </w:tc>
        <w:tc>
          <w:tcPr>
            <w:tcW w:w="2268" w:type="dxa"/>
            <w:vAlign w:val="center"/>
          </w:tcPr>
          <w:p>
            <w:pPr>
              <w:widowControl/>
              <w:jc w:val="center"/>
              <w:rPr>
                <w:rFonts w:ascii="宋体" w:hAnsi="宋体" w:cs="宋体"/>
                <w:sz w:val="24"/>
              </w:rPr>
            </w:pPr>
            <w:r>
              <w:rPr>
                <w:rFonts w:hint="eastAsia" w:ascii="宋体" w:hAnsi="宋体" w:cs="宋体"/>
                <w:sz w:val="24"/>
              </w:rPr>
              <w:t>154.8</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融合中心水电费</w:t>
            </w:r>
          </w:p>
        </w:tc>
        <w:tc>
          <w:tcPr>
            <w:tcW w:w="2268" w:type="dxa"/>
            <w:vAlign w:val="center"/>
          </w:tcPr>
          <w:p>
            <w:pPr>
              <w:widowControl/>
              <w:jc w:val="center"/>
              <w:rPr>
                <w:rFonts w:ascii="宋体" w:hAnsi="宋体" w:cs="宋体"/>
                <w:kern w:val="0"/>
                <w:sz w:val="24"/>
              </w:rPr>
            </w:pPr>
            <w:r>
              <w:rPr>
                <w:rFonts w:hint="eastAsia" w:ascii="宋体" w:hAnsi="宋体" w:cs="宋体"/>
                <w:sz w:val="24"/>
              </w:rPr>
              <w:t>60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60</w:t>
            </w:r>
          </w:p>
        </w:tc>
        <w:tc>
          <w:tcPr>
            <w:tcW w:w="2268" w:type="dxa"/>
            <w:vAlign w:val="center"/>
          </w:tcPr>
          <w:p>
            <w:pPr>
              <w:widowControl/>
              <w:jc w:val="center"/>
              <w:rPr>
                <w:rFonts w:ascii="宋体" w:hAnsi="宋体" w:cs="宋体"/>
                <w:sz w:val="24"/>
              </w:rPr>
            </w:pPr>
            <w:r>
              <w:rPr>
                <w:rFonts w:hint="eastAsia" w:ascii="宋体" w:hAnsi="宋体" w:cs="宋体"/>
                <w:sz w:val="24"/>
              </w:rPr>
              <w:t>60</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委托业务费</w:t>
            </w:r>
          </w:p>
        </w:tc>
        <w:tc>
          <w:tcPr>
            <w:tcW w:w="2268" w:type="dxa"/>
            <w:vAlign w:val="center"/>
          </w:tcPr>
          <w:p>
            <w:pPr>
              <w:widowControl/>
              <w:jc w:val="center"/>
              <w:rPr>
                <w:rFonts w:ascii="宋体" w:hAnsi="宋体" w:cs="宋体"/>
                <w:kern w:val="0"/>
                <w:sz w:val="24"/>
              </w:rPr>
            </w:pPr>
            <w:r>
              <w:rPr>
                <w:rFonts w:hint="eastAsia" w:ascii="宋体" w:hAnsi="宋体" w:cs="宋体"/>
                <w:sz w:val="24"/>
              </w:rPr>
              <w:t>59.68</w:t>
            </w:r>
          </w:p>
        </w:tc>
        <w:tc>
          <w:tcPr>
            <w:tcW w:w="2268" w:type="dxa"/>
            <w:vAlign w:val="center"/>
          </w:tcPr>
          <w:p>
            <w:pPr>
              <w:widowControl/>
              <w:jc w:val="center"/>
              <w:rPr>
                <w:rFonts w:ascii="宋体" w:hAnsi="宋体" w:cs="宋体"/>
                <w:sz w:val="24"/>
              </w:rPr>
            </w:pPr>
            <w:r>
              <w:rPr>
                <w:rFonts w:hint="eastAsia" w:ascii="宋体" w:hAnsi="宋体" w:cs="宋体"/>
                <w:sz w:val="24"/>
              </w:rPr>
              <w:t>-52.73</w:t>
            </w:r>
          </w:p>
        </w:tc>
        <w:tc>
          <w:tcPr>
            <w:tcW w:w="2268" w:type="dxa"/>
            <w:vAlign w:val="center"/>
          </w:tcPr>
          <w:p>
            <w:pPr>
              <w:widowControl/>
              <w:jc w:val="center"/>
              <w:rPr>
                <w:rFonts w:ascii="宋体" w:hAnsi="宋体" w:cs="宋体"/>
                <w:sz w:val="24"/>
              </w:rPr>
            </w:pPr>
            <w:r>
              <w:rPr>
                <w:rFonts w:hint="eastAsia" w:ascii="宋体" w:hAnsi="宋体" w:cs="宋体"/>
                <w:sz w:val="24"/>
              </w:rPr>
              <w:t>6.95</w:t>
            </w:r>
          </w:p>
        </w:tc>
        <w:tc>
          <w:tcPr>
            <w:tcW w:w="2268" w:type="dxa"/>
            <w:vAlign w:val="center"/>
          </w:tcPr>
          <w:p>
            <w:pPr>
              <w:widowControl/>
              <w:jc w:val="center"/>
              <w:rPr>
                <w:rFonts w:ascii="宋体" w:hAnsi="宋体" w:cs="宋体"/>
                <w:sz w:val="24"/>
              </w:rPr>
            </w:pPr>
            <w:r>
              <w:rPr>
                <w:rFonts w:hint="eastAsia" w:ascii="宋体" w:hAnsi="宋体" w:cs="宋体"/>
                <w:sz w:val="24"/>
              </w:rPr>
              <w:t>6.95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物业管理</w:t>
            </w:r>
          </w:p>
        </w:tc>
        <w:tc>
          <w:tcPr>
            <w:tcW w:w="2268" w:type="dxa"/>
            <w:vAlign w:val="center"/>
          </w:tcPr>
          <w:p>
            <w:pPr>
              <w:widowControl/>
              <w:jc w:val="center"/>
              <w:rPr>
                <w:rFonts w:ascii="宋体" w:hAnsi="宋体" w:cs="宋体"/>
                <w:kern w:val="0"/>
                <w:sz w:val="24"/>
              </w:rPr>
            </w:pPr>
            <w:r>
              <w:rPr>
                <w:rFonts w:hint="eastAsia" w:ascii="宋体" w:hAnsi="宋体" w:cs="宋体"/>
                <w:sz w:val="24"/>
              </w:rPr>
              <w:t>75</w:t>
            </w:r>
          </w:p>
        </w:tc>
        <w:tc>
          <w:tcPr>
            <w:tcW w:w="2268" w:type="dxa"/>
            <w:vAlign w:val="center"/>
          </w:tcPr>
          <w:p>
            <w:pPr>
              <w:widowControl/>
              <w:jc w:val="center"/>
              <w:rPr>
                <w:rFonts w:ascii="宋体" w:hAnsi="宋体" w:cs="宋体"/>
                <w:sz w:val="24"/>
              </w:rPr>
            </w:pPr>
            <w:r>
              <w:rPr>
                <w:rFonts w:hint="eastAsia" w:ascii="宋体" w:hAnsi="宋体" w:cs="宋体"/>
                <w:sz w:val="24"/>
              </w:rPr>
              <w:t>-3</w:t>
            </w:r>
          </w:p>
        </w:tc>
        <w:tc>
          <w:tcPr>
            <w:tcW w:w="2268" w:type="dxa"/>
            <w:vAlign w:val="center"/>
          </w:tcPr>
          <w:p>
            <w:pPr>
              <w:widowControl/>
              <w:jc w:val="center"/>
              <w:rPr>
                <w:rFonts w:ascii="宋体" w:hAnsi="宋体" w:cs="宋体"/>
                <w:sz w:val="24"/>
              </w:rPr>
            </w:pPr>
            <w:r>
              <w:rPr>
                <w:rFonts w:hint="eastAsia" w:ascii="宋体" w:hAnsi="宋体" w:cs="宋体"/>
                <w:sz w:val="24"/>
              </w:rPr>
              <w:t>72</w:t>
            </w:r>
          </w:p>
        </w:tc>
        <w:tc>
          <w:tcPr>
            <w:tcW w:w="2268" w:type="dxa"/>
            <w:vAlign w:val="center"/>
          </w:tcPr>
          <w:p>
            <w:pPr>
              <w:widowControl/>
              <w:jc w:val="center"/>
              <w:rPr>
                <w:rFonts w:ascii="宋体" w:hAnsi="宋体" w:cs="宋体"/>
                <w:sz w:val="24"/>
              </w:rPr>
            </w:pPr>
            <w:r>
              <w:rPr>
                <w:rFonts w:hint="eastAsia" w:ascii="宋体" w:hAnsi="宋体" w:cs="宋体"/>
                <w:sz w:val="24"/>
              </w:rPr>
              <w:t>72</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bl>
    <w:p>
      <w:pPr>
        <w:spacing w:line="360" w:lineRule="auto"/>
        <w:ind w:left="600"/>
        <w:rPr>
          <w:rFonts w:ascii="黑体" w:hAnsi="黑体" w:eastAsia="黑体"/>
          <w:sz w:val="30"/>
        </w:rPr>
      </w:pPr>
    </w:p>
    <w:p>
      <w:pPr>
        <w:spacing w:line="360" w:lineRule="auto"/>
        <w:ind w:left="600"/>
        <w:rPr>
          <w:rFonts w:ascii="黑体" w:hAnsi="黑体" w:eastAsia="黑体"/>
          <w:sz w:val="30"/>
        </w:rPr>
      </w:pPr>
    </w:p>
    <w:p>
      <w:pPr>
        <w:spacing w:line="360" w:lineRule="auto"/>
        <w:ind w:left="600"/>
        <w:rPr>
          <w:rFonts w:ascii="黑体" w:hAnsi="黑体" w:eastAsia="黑体"/>
          <w:sz w:val="30"/>
        </w:rPr>
      </w:pPr>
    </w:p>
    <w:p>
      <w:pPr>
        <w:numPr>
          <w:ilvl w:val="0"/>
          <w:numId w:val="2"/>
        </w:numPr>
        <w:spacing w:line="360" w:lineRule="auto"/>
        <w:ind w:left="600"/>
        <w:rPr>
          <w:rFonts w:ascii="黑体" w:hAnsi="黑体" w:eastAsia="黑体"/>
          <w:sz w:val="30"/>
        </w:rPr>
      </w:pPr>
      <w:r>
        <w:rPr>
          <w:rFonts w:hint="eastAsia" w:ascii="黑体" w:hAnsi="黑体" w:eastAsia="黑体"/>
          <w:sz w:val="30"/>
        </w:rPr>
        <w:t>年度重点任务</w:t>
      </w: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pPr>
              <w:widowControl/>
              <w:jc w:val="center"/>
              <w:rPr>
                <w:rFonts w:ascii="宋体" w:hAnsi="宋体" w:cs="宋体"/>
                <w:b/>
                <w:bCs/>
                <w:kern w:val="0"/>
                <w:sz w:val="24"/>
              </w:rPr>
            </w:pPr>
          </w:p>
          <w:p>
            <w:pPr>
              <w:widowControl/>
              <w:jc w:val="center"/>
              <w:rPr>
                <w:rFonts w:ascii="宋体" w:hAnsi="宋体" w:cs="宋体"/>
                <w:b/>
                <w:bCs/>
                <w:kern w:val="0"/>
                <w:sz w:val="24"/>
              </w:rPr>
            </w:pPr>
            <w:r>
              <w:rPr>
                <w:rFonts w:hint="eastAsia" w:ascii="宋体" w:hAnsi="宋体" w:cs="宋体"/>
                <w:b/>
                <w:bCs/>
                <w:kern w:val="0"/>
                <w:sz w:val="24"/>
              </w:rPr>
              <w:t>对应部门主要职责</w:t>
            </w:r>
          </w:p>
          <w:p>
            <w:pPr>
              <w:widowControl/>
              <w:jc w:val="center"/>
              <w:rPr>
                <w:rFonts w:ascii="宋体" w:hAnsi="宋体" w:cs="宋体"/>
                <w:b/>
                <w:bCs/>
                <w:kern w:val="0"/>
                <w:sz w:val="24"/>
              </w:rPr>
            </w:pPr>
          </w:p>
        </w:tc>
        <w:tc>
          <w:tcPr>
            <w:tcW w:w="381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pPr>
              <w:widowControl/>
              <w:jc w:val="center"/>
              <w:rPr>
                <w:rFonts w:ascii="宋体" w:hAnsi="宋体" w:cs="宋体"/>
                <w:kern w:val="0"/>
                <w:sz w:val="24"/>
              </w:rPr>
            </w:pPr>
            <w:r>
              <w:rPr>
                <w:rFonts w:hint="eastAsia" w:ascii="宋体" w:hAnsi="宋体" w:cs="宋体"/>
                <w:sz w:val="24"/>
              </w:rPr>
              <w:t>建设及管理苏州市企业服务总入口</w:t>
            </w:r>
          </w:p>
        </w:tc>
        <w:tc>
          <w:tcPr>
            <w:tcW w:w="3818" w:type="dxa"/>
            <w:vAlign w:val="center"/>
          </w:tcPr>
          <w:p>
            <w:pPr>
              <w:widowControl/>
              <w:jc w:val="center"/>
              <w:rPr>
                <w:rFonts w:ascii="宋体" w:hAnsi="宋体" w:cs="宋体"/>
                <w:sz w:val="24"/>
              </w:rPr>
            </w:pPr>
            <w:r>
              <w:rPr>
                <w:rFonts w:hint="eastAsia" w:ascii="宋体" w:hAnsi="宋体" w:cs="宋体"/>
                <w:sz w:val="24"/>
              </w:rPr>
              <w:t>运营苏州市企业服务总入口平台</w:t>
            </w:r>
          </w:p>
        </w:tc>
        <w:tc>
          <w:tcPr>
            <w:tcW w:w="6280" w:type="dxa"/>
            <w:vAlign w:val="center"/>
          </w:tcPr>
          <w:p>
            <w:pPr>
              <w:widowControl/>
              <w:jc w:val="center"/>
              <w:rPr>
                <w:rFonts w:ascii="宋体" w:hAnsi="宋体" w:cs="宋体"/>
                <w:sz w:val="24"/>
              </w:rPr>
            </w:pPr>
            <w:r>
              <w:rPr>
                <w:rFonts w:hint="eastAsia" w:ascii="宋体" w:hAnsi="宋体" w:cs="宋体"/>
                <w:sz w:val="24"/>
              </w:rPr>
              <w:t>运营苏州市企业服务云平台，新增注册企业1.7万户，新增网站点击量55万次，政策覆盖率不低于网站清单所有来源网址发布政策数量的95%，政策分解数量不低于抓取政策数量的50%，新增政策匹配次数5.9万次，新增图解131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pPr>
              <w:widowControl/>
              <w:jc w:val="center"/>
              <w:rPr>
                <w:rFonts w:ascii="宋体" w:hAnsi="宋体" w:cs="宋体"/>
                <w:kern w:val="0"/>
                <w:sz w:val="24"/>
              </w:rPr>
            </w:pPr>
            <w:r>
              <w:rPr>
                <w:rFonts w:hint="eastAsia" w:ascii="宋体" w:hAnsi="宋体" w:cs="宋体"/>
                <w:sz w:val="24"/>
              </w:rPr>
              <w:t>推进全市智能制造融合发展</w:t>
            </w:r>
          </w:p>
        </w:tc>
        <w:tc>
          <w:tcPr>
            <w:tcW w:w="3818" w:type="dxa"/>
            <w:vAlign w:val="center"/>
          </w:tcPr>
          <w:p>
            <w:pPr>
              <w:widowControl/>
              <w:jc w:val="center"/>
              <w:rPr>
                <w:rFonts w:ascii="宋体" w:hAnsi="宋体" w:cs="宋体"/>
                <w:sz w:val="24"/>
              </w:rPr>
            </w:pPr>
            <w:r>
              <w:rPr>
                <w:rFonts w:hint="eastAsia" w:ascii="宋体" w:hAnsi="宋体" w:cs="宋体"/>
                <w:sz w:val="24"/>
              </w:rPr>
              <w:t>运营苏州市智能制造融合发展中心</w:t>
            </w:r>
          </w:p>
        </w:tc>
        <w:tc>
          <w:tcPr>
            <w:tcW w:w="6280" w:type="dxa"/>
            <w:vAlign w:val="center"/>
          </w:tcPr>
          <w:p>
            <w:pPr>
              <w:widowControl/>
              <w:jc w:val="center"/>
              <w:rPr>
                <w:rFonts w:ascii="宋体" w:hAnsi="宋体" w:cs="宋体"/>
                <w:sz w:val="24"/>
              </w:rPr>
            </w:pPr>
            <w:r>
              <w:rPr>
                <w:rFonts w:hint="eastAsia" w:ascii="宋体" w:hAnsi="宋体" w:cs="宋体"/>
                <w:sz w:val="24"/>
              </w:rPr>
              <w:t>运营苏州市智能制造融合发展中心，2025年接待400多场参观，提高了党政团体、企事业单位参观体验，参观满意度达到99.92%。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pPr>
              <w:widowControl/>
              <w:jc w:val="center"/>
              <w:rPr>
                <w:rFonts w:ascii="宋体" w:hAnsi="宋体" w:cs="宋体"/>
                <w:kern w:val="0"/>
                <w:sz w:val="24"/>
              </w:rPr>
            </w:pPr>
            <w:r>
              <w:rPr>
                <w:rFonts w:hint="eastAsia" w:ascii="宋体" w:hAnsi="宋体" w:cs="宋体"/>
                <w:sz w:val="24"/>
              </w:rPr>
              <w:t>为企业提供政策咨询、金融支持、对外交流等业务</w:t>
            </w:r>
          </w:p>
        </w:tc>
        <w:tc>
          <w:tcPr>
            <w:tcW w:w="3818" w:type="dxa"/>
            <w:vAlign w:val="center"/>
          </w:tcPr>
          <w:p>
            <w:pPr>
              <w:widowControl/>
              <w:jc w:val="center"/>
              <w:rPr>
                <w:rFonts w:ascii="宋体" w:hAnsi="宋体" w:cs="宋体"/>
                <w:sz w:val="24"/>
              </w:rPr>
            </w:pPr>
            <w:r>
              <w:rPr>
                <w:rFonts w:hint="eastAsia" w:ascii="宋体" w:hAnsi="宋体" w:cs="宋体"/>
                <w:sz w:val="24"/>
              </w:rPr>
              <w:t>举办企业政策辅导</w:t>
            </w:r>
          </w:p>
        </w:tc>
        <w:tc>
          <w:tcPr>
            <w:tcW w:w="6280" w:type="dxa"/>
            <w:vAlign w:val="center"/>
          </w:tcPr>
          <w:p>
            <w:pPr>
              <w:widowControl/>
              <w:jc w:val="center"/>
              <w:rPr>
                <w:rFonts w:ascii="宋体" w:hAnsi="宋体" w:cs="宋体"/>
                <w:sz w:val="24"/>
              </w:rPr>
            </w:pPr>
            <w:r>
              <w:rPr>
                <w:rFonts w:hint="eastAsia" w:ascii="宋体" w:hAnsi="宋体" w:cs="宋体"/>
                <w:sz w:val="24"/>
              </w:rPr>
              <w:t>开展惠企服务活动，举办各级各类服务活动近68场次，服务企业3068人次；开展企业政策辅导24场次。</w:t>
            </w:r>
          </w:p>
        </w:tc>
      </w:tr>
    </w:tbl>
    <w:p>
      <w:pPr>
        <w:spacing w:line="360" w:lineRule="auto"/>
        <w:ind w:left="600"/>
        <w:rPr>
          <w:rFonts w:ascii="黑体" w:hAnsi="黑体" w:eastAsia="黑体"/>
          <w:sz w:val="30"/>
        </w:rPr>
      </w:pPr>
    </w:p>
    <w:p>
      <w:pPr>
        <w:spacing w:line="360" w:lineRule="auto"/>
        <w:ind w:left="600"/>
        <w:rPr>
          <w:rFonts w:ascii="黑体" w:hAnsi="黑体" w:eastAsia="黑体"/>
          <w:sz w:val="30"/>
        </w:rPr>
      </w:pPr>
    </w:p>
    <w:p>
      <w:pPr>
        <w:spacing w:line="360" w:lineRule="auto"/>
        <w:ind w:left="600"/>
        <w:rPr>
          <w:rFonts w:ascii="黑体" w:hAnsi="黑体" w:eastAsia="黑体"/>
          <w:sz w:val="30"/>
        </w:rPr>
      </w:pPr>
    </w:p>
    <w:p>
      <w:pPr>
        <w:spacing w:line="360" w:lineRule="auto"/>
        <w:ind w:left="600"/>
        <w:rPr>
          <w:rFonts w:ascii="黑体" w:hAnsi="黑体" w:eastAsia="黑体"/>
          <w:sz w:val="30"/>
        </w:rPr>
      </w:pPr>
    </w:p>
    <w:p>
      <w:pPr>
        <w:spacing w:line="360" w:lineRule="auto"/>
        <w:ind w:left="600"/>
        <w:rPr>
          <w:rFonts w:ascii="黑体" w:hAnsi="黑体" w:eastAsia="黑体"/>
          <w:sz w:val="30"/>
        </w:rPr>
      </w:pPr>
    </w:p>
    <w:p>
      <w:pPr>
        <w:spacing w:line="360" w:lineRule="auto"/>
        <w:ind w:left="600"/>
        <w:rPr>
          <w:rFonts w:ascii="黑体" w:hAnsi="黑体" w:eastAsia="黑体"/>
          <w:sz w:val="30"/>
        </w:rPr>
      </w:pPr>
    </w:p>
    <w:p>
      <w:pPr>
        <w:numPr>
          <w:ilvl w:val="0"/>
          <w:numId w:val="2"/>
        </w:numPr>
        <w:spacing w:line="360" w:lineRule="auto"/>
        <w:ind w:left="600"/>
        <w:rPr>
          <w:rFonts w:ascii="黑体" w:hAnsi="黑体" w:eastAsia="黑体"/>
          <w:sz w:val="30"/>
        </w:rPr>
      </w:pPr>
      <w:bookmarkStart w:id="0" w:name="_GoBack"/>
      <w:bookmarkEnd w:id="0"/>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525"/>
        <w:gridCol w:w="2412"/>
        <w:gridCol w:w="1750"/>
        <w:gridCol w:w="2238"/>
        <w:gridCol w:w="2388"/>
        <w:gridCol w:w="1474"/>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192" w:type="dxa"/>
            <w:shd w:val="clear" w:color="000000" w:fill="BFBFBF"/>
            <w:vAlign w:val="center"/>
          </w:tcPr>
          <w:p>
            <w:pPr>
              <w:widowControl/>
              <w:jc w:val="center"/>
              <w:rPr>
                <w:rFonts w:ascii="宋体" w:hAnsi="宋体" w:cs="宋体"/>
                <w:b/>
                <w:bCs/>
                <w:kern w:val="0"/>
                <w:sz w:val="24"/>
              </w:rPr>
            </w:pPr>
          </w:p>
        </w:tc>
        <w:tc>
          <w:tcPr>
            <w:tcW w:w="1525"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类别</w:t>
            </w:r>
          </w:p>
        </w:tc>
        <w:tc>
          <w:tcPr>
            <w:tcW w:w="2412"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指标名称</w:t>
            </w:r>
          </w:p>
        </w:tc>
        <w:tc>
          <w:tcPr>
            <w:tcW w:w="1750"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指标目标值</w:t>
            </w:r>
          </w:p>
        </w:tc>
        <w:tc>
          <w:tcPr>
            <w:tcW w:w="2238"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指标完成值</w:t>
            </w:r>
          </w:p>
        </w:tc>
        <w:tc>
          <w:tcPr>
            <w:tcW w:w="2388"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完成值来源</w:t>
            </w:r>
          </w:p>
        </w:tc>
        <w:tc>
          <w:tcPr>
            <w:tcW w:w="1474" w:type="dxa"/>
            <w:shd w:val="clear" w:color="000000" w:fill="BFBFBF"/>
            <w:vAlign w:val="center"/>
          </w:tcPr>
          <w:p>
            <w:pPr>
              <w:widowControl/>
              <w:jc w:val="center"/>
              <w:rPr>
                <w:rFonts w:ascii="宋体" w:hAnsi="宋体" w:cs="宋体"/>
                <w:b/>
                <w:bCs/>
                <w:sz w:val="24"/>
              </w:rPr>
            </w:pPr>
            <w:r>
              <w:rPr>
                <w:rFonts w:hint="eastAsia" w:ascii="宋体" w:hAnsi="宋体" w:cs="宋体"/>
                <w:b/>
                <w:bCs/>
                <w:sz w:val="24"/>
              </w:rPr>
              <w:t>偏差情况</w:t>
            </w:r>
          </w:p>
        </w:tc>
        <w:tc>
          <w:tcPr>
            <w:tcW w:w="1710" w:type="dxa"/>
            <w:shd w:val="clear" w:color="000000" w:fill="BFBFBF"/>
          </w:tcPr>
          <w:p>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trPr>
        <w:tc>
          <w:tcPr>
            <w:tcW w:w="1192" w:type="dxa"/>
            <w:vMerge w:val="restart"/>
            <w:vAlign w:val="center"/>
          </w:tcPr>
          <w:p>
            <w:pPr>
              <w:spacing w:line="360" w:lineRule="auto"/>
              <w:jc w:val="center"/>
              <w:rPr>
                <w:rFonts w:ascii="宋体" w:hAnsi="宋体" w:cs="宋体"/>
                <w:kern w:val="0"/>
                <w:sz w:val="24"/>
              </w:rPr>
            </w:pPr>
            <w:r>
              <w:rPr>
                <w:rFonts w:hint="eastAsia" w:ascii="宋体" w:hAnsi="宋体" w:cs="宋体"/>
                <w:sz w:val="24"/>
              </w:rPr>
              <w:t>分解目标</w:t>
            </w:r>
          </w:p>
        </w:tc>
        <w:tc>
          <w:tcPr>
            <w:tcW w:w="1525" w:type="dxa"/>
            <w:vMerge w:val="restart"/>
            <w:vAlign w:val="center"/>
          </w:tcPr>
          <w:p>
            <w:pPr>
              <w:spacing w:line="360" w:lineRule="auto"/>
              <w:jc w:val="center"/>
              <w:rPr>
                <w:rFonts w:ascii="宋体" w:hAnsi="宋体" w:cs="宋体"/>
                <w:kern w:val="0"/>
                <w:sz w:val="24"/>
              </w:rPr>
            </w:pPr>
            <w:r>
              <w:rPr>
                <w:rFonts w:hint="eastAsia" w:ascii="宋体" w:hAnsi="宋体" w:cs="宋体"/>
                <w:sz w:val="24"/>
              </w:rPr>
              <w:t>决策</w:t>
            </w: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2025年工作计划</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2025年工作计划</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绩效考核目标、苏州市企业服务中心管理制度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绩效考核目标、苏州市企业服务中心管理制度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苏州市企业服务中心管理制度、2025年预算批复</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苏州市企业服务中心管理制度、2025年预算批复</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restart"/>
            <w:vAlign w:val="center"/>
          </w:tcPr>
          <w:p>
            <w:pPr>
              <w:spacing w:line="360" w:lineRule="auto"/>
              <w:jc w:val="center"/>
              <w:rPr>
                <w:rFonts w:ascii="宋体" w:hAnsi="宋体" w:cs="宋体"/>
                <w:kern w:val="0"/>
                <w:sz w:val="24"/>
              </w:rPr>
            </w:pPr>
            <w:r>
              <w:rPr>
                <w:rFonts w:hint="eastAsia" w:ascii="宋体" w:hAnsi="宋体" w:cs="宋体"/>
                <w:sz w:val="24"/>
              </w:rPr>
              <w:t>过程</w:t>
            </w: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发票、支付审批单、合同、三方比价、审计报告、验收报告</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2025年绩效批复</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2025年预算综合信息表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苏州市企业服务中心管理制度、2025年预算批复</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2024决算公开报告、2025预算公开报告</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非税收入明细表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苏州市企业服务中心管理制度、2025年度行政事业单位国有资产报告、江苏省行政事业单位资产云平台</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苏州市企业服务中心管理制度、2025年度行政事业单位国有资产报告、江苏省行政事业单位资产云平台</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苏州市企业服务中心管理制度、2025年度行政事业单位国有资产报告、江苏省行政事业单位资产云平台</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苏州市企业服务中心管理制度</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3%</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36.85%</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10" w:type="dxa"/>
          </w:tcPr>
          <w:p>
            <w:pPr>
              <w:spacing w:line="360" w:lineRule="auto"/>
              <w:rPr>
                <w:rFonts w:ascii="宋体" w:hAnsi="宋体" w:cs="宋体"/>
                <w:kern w:val="0"/>
                <w:sz w:val="22"/>
              </w:rPr>
            </w:pPr>
            <w:r>
              <w:rPr>
                <w:rFonts w:hint="eastAsia" w:ascii="宋体" w:hAnsi="宋体" w:cs="宋体"/>
                <w:sz w:val="24"/>
              </w:rPr>
              <w:t>公车运营维护费增加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0.2%</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10" w:type="dxa"/>
          </w:tcPr>
          <w:p>
            <w:pPr>
              <w:spacing w:line="360" w:lineRule="auto"/>
              <w:rPr>
                <w:rFonts w:ascii="宋体" w:hAnsi="宋体" w:cs="宋体"/>
                <w:kern w:val="0"/>
                <w:sz w:val="22"/>
              </w:rPr>
            </w:pPr>
            <w:r>
              <w:rPr>
                <w:rFonts w:hint="eastAsia" w:ascii="宋体" w:hAnsi="宋体" w:cs="宋体"/>
                <w:sz w:val="24"/>
              </w:rPr>
              <w:t>江苏省中小企业公共服务平台建设专项资金结转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99.8%</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-0.20%</w:t>
            </w:r>
          </w:p>
        </w:tc>
        <w:tc>
          <w:tcPr>
            <w:tcW w:w="1710" w:type="dxa"/>
          </w:tcPr>
          <w:p>
            <w:pPr>
              <w:spacing w:line="360" w:lineRule="auto"/>
              <w:rPr>
                <w:rFonts w:ascii="宋体" w:hAnsi="宋体" w:cs="宋体"/>
                <w:kern w:val="0"/>
                <w:sz w:val="22"/>
              </w:rPr>
            </w:pPr>
            <w:r>
              <w:rPr>
                <w:rFonts w:hint="eastAsia" w:ascii="宋体" w:hAnsi="宋体" w:cs="宋体"/>
                <w:sz w:val="24"/>
              </w:rPr>
              <w:t>江苏省中小企业公共服务平台建设专项资金结转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0.2%</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-98.00%</w:t>
            </w:r>
          </w:p>
        </w:tc>
        <w:tc>
          <w:tcPr>
            <w:tcW w:w="1710" w:type="dxa"/>
          </w:tcPr>
          <w:p>
            <w:pPr>
              <w:spacing w:line="360" w:lineRule="auto"/>
              <w:rPr>
                <w:rFonts w:ascii="宋体" w:hAnsi="宋体" w:cs="宋体"/>
                <w:kern w:val="0"/>
                <w:sz w:val="22"/>
              </w:rPr>
            </w:pPr>
            <w:r>
              <w:rPr>
                <w:rFonts w:hint="eastAsia" w:ascii="宋体" w:hAnsi="宋体" w:cs="宋体"/>
                <w:sz w:val="24"/>
              </w:rPr>
              <w:t>江苏省中小企业公共服务平台建设专项资金结转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2025年决算报表、2025年单位指标明细表</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restart"/>
            <w:vAlign w:val="center"/>
          </w:tcPr>
          <w:p>
            <w:pPr>
              <w:spacing w:line="360" w:lineRule="auto"/>
              <w:jc w:val="center"/>
              <w:rPr>
                <w:rFonts w:ascii="宋体" w:hAnsi="宋体" w:cs="宋体"/>
                <w:kern w:val="0"/>
                <w:sz w:val="24"/>
              </w:rPr>
            </w:pPr>
            <w:r>
              <w:rPr>
                <w:rFonts w:hint="eastAsia" w:ascii="宋体" w:hAnsi="宋体" w:cs="宋体"/>
                <w:sz w:val="24"/>
              </w:rPr>
              <w:t>效益</w:t>
            </w: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企业政策辅导场次</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&gt;=24场次</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24场次</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活动通知、签到表、照片、活动清单、合同</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推动智能制造发展</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显著</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显著</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对接成效、官方发文、宣传报道</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展厅参观场次</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&gt;=400场次</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400场次</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参观预约小程序、参观函</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Align w:val="center"/>
          </w:tcPr>
          <w:p>
            <w:pPr>
              <w:spacing w:line="360" w:lineRule="auto"/>
              <w:jc w:val="center"/>
              <w:rPr>
                <w:rFonts w:ascii="宋体" w:hAnsi="宋体" w:cs="宋体"/>
                <w:kern w:val="0"/>
                <w:sz w:val="24"/>
              </w:rPr>
            </w:pPr>
            <w:r>
              <w:rPr>
                <w:rFonts w:hint="eastAsia" w:ascii="宋体" w:hAnsi="宋体" w:cs="宋体"/>
                <w:sz w:val="24"/>
              </w:rPr>
              <w:t>满意度</w:t>
            </w: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展厅参观满意度</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99.92%</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调查问卷、调查实施方案、调查分析报告</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5.18%</w:t>
            </w:r>
          </w:p>
        </w:tc>
        <w:tc>
          <w:tcPr>
            <w:tcW w:w="1710" w:type="dxa"/>
          </w:tcPr>
          <w:p>
            <w:pPr>
              <w:spacing w:line="360" w:lineRule="auto"/>
              <w:rPr>
                <w:rFonts w:ascii="宋体" w:hAnsi="宋体" w:cs="宋体"/>
                <w:kern w:val="0"/>
                <w:sz w:val="22"/>
              </w:rPr>
            </w:pPr>
            <w:r>
              <w:rPr>
                <w:rFonts w:hint="eastAsia" w:ascii="宋体" w:hAnsi="宋体" w:cs="宋体"/>
                <w:sz w:val="24"/>
              </w:rPr>
              <w:t>全年引入独角兽企业魔门塔、协鑫光电，专精特新“小巨人”企业博云科技、联讯仪器等数十家标杆企业，新增人工智能大模型、行业应用等典型案例80多个，同步完成38轮次讲解内容优化，加速形成一批带动效应好、示范作用强、可复制推广的“苏州智造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restart"/>
            <w:vAlign w:val="center"/>
          </w:tcPr>
          <w:p>
            <w:pPr>
              <w:spacing w:line="360" w:lineRule="auto"/>
              <w:jc w:val="center"/>
              <w:rPr>
                <w:rFonts w:ascii="宋体" w:hAnsi="宋体" w:cs="宋体"/>
                <w:kern w:val="0"/>
                <w:sz w:val="24"/>
              </w:rPr>
            </w:pPr>
            <w:r>
              <w:rPr>
                <w:rFonts w:hint="eastAsia" w:ascii="宋体" w:hAnsi="宋体" w:cs="宋体"/>
                <w:sz w:val="24"/>
              </w:rPr>
              <w:t>履职</w:t>
            </w: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新增注册企业</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&gt;=15000家</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17757家</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苏州市企业服务云平台验收报告</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18.38%</w:t>
            </w:r>
          </w:p>
        </w:tc>
        <w:tc>
          <w:tcPr>
            <w:tcW w:w="1710" w:type="dxa"/>
          </w:tcPr>
          <w:p>
            <w:pPr>
              <w:spacing w:line="360" w:lineRule="auto"/>
              <w:rPr>
                <w:rFonts w:ascii="宋体" w:hAnsi="宋体" w:cs="宋体"/>
                <w:kern w:val="0"/>
                <w:sz w:val="22"/>
              </w:rPr>
            </w:pPr>
            <w:r>
              <w:rPr>
                <w:rFonts w:hint="eastAsia" w:ascii="宋体" w:hAnsi="宋体" w:cs="宋体"/>
                <w:sz w:val="24"/>
              </w:rPr>
              <w:t>“政策计算器”持续完善政策标签与企业标签体系，提升精准匹配计算，生成惠企政策最优路径。重点研发并引入AI智能分解技术，加快政策审核与分解流程。通过搭载“苏商通”、“助企通”平台，在资源汇聚与服务效能提升方面不断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新增网站点击量</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&gt;=400000次</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549682次</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苏州市企业服务云平台验收报告</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37.42%</w:t>
            </w:r>
          </w:p>
        </w:tc>
        <w:tc>
          <w:tcPr>
            <w:tcW w:w="1710" w:type="dxa"/>
          </w:tcPr>
          <w:p>
            <w:pPr>
              <w:spacing w:line="360" w:lineRule="auto"/>
              <w:rPr>
                <w:rFonts w:ascii="宋体" w:hAnsi="宋体" w:cs="宋体"/>
                <w:kern w:val="0"/>
                <w:sz w:val="22"/>
              </w:rPr>
            </w:pPr>
            <w:r>
              <w:rPr>
                <w:rFonts w:hint="eastAsia" w:ascii="宋体" w:hAnsi="宋体" w:cs="宋体"/>
                <w:sz w:val="24"/>
              </w:rPr>
              <w:t>“政策计算器”持续完善政策标签与企业标签体系，提升精准匹配计算，生成惠企政策最优路径。重点研发并引入AI智能分解技术，加快政策审核与分解流程。通过搭载“苏商通”、“助企通”平台，在资源汇聚与服务效能提升方面不断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融合中心参观满意度</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99.92%</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调查问卷、调查实施方案、调查分析报告</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5.18%</w:t>
            </w:r>
          </w:p>
        </w:tc>
        <w:tc>
          <w:tcPr>
            <w:tcW w:w="1710" w:type="dxa"/>
          </w:tcPr>
          <w:p>
            <w:pPr>
              <w:spacing w:line="360" w:lineRule="auto"/>
              <w:rPr>
                <w:rFonts w:ascii="宋体" w:hAnsi="宋体" w:cs="宋体"/>
                <w:kern w:val="0"/>
                <w:sz w:val="22"/>
              </w:rPr>
            </w:pPr>
            <w:r>
              <w:rPr>
                <w:rFonts w:hint="eastAsia" w:ascii="宋体" w:hAnsi="宋体" w:cs="宋体"/>
                <w:sz w:val="24"/>
              </w:rPr>
              <w:t>“政策计算器”持续完善政策标签与企业标签体系，提升精准匹配计算，生成惠企政策最优路径。重点研发并引入AI智能分解技术，加快政策审核与分解流程。通过搭载“苏商通”、“助企通”平台，在资源汇聚与服务效能提升方面不断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融合中心参观场次</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&gt;=400场次</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400场次</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参观预约小程序、参观函</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举办企业政策辅导场次</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&gt;=24场次</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24场次</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活动通知、签到表、照片、活动清单、合同</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710"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92" w:type="dxa"/>
            <w:vMerge w:val="continue"/>
            <w:vAlign w:val="center"/>
          </w:tcPr>
          <w:p>
            <w:pPr>
              <w:spacing w:line="360" w:lineRule="auto"/>
              <w:jc w:val="center"/>
              <w:rPr>
                <w:rFonts w:ascii="宋体" w:hAnsi="宋体" w:cs="宋体"/>
                <w:kern w:val="0"/>
                <w:sz w:val="24"/>
              </w:rPr>
            </w:pPr>
          </w:p>
        </w:tc>
        <w:tc>
          <w:tcPr>
            <w:tcW w:w="1525" w:type="dxa"/>
            <w:vMerge w:val="continue"/>
            <w:vAlign w:val="center"/>
          </w:tcPr>
          <w:p>
            <w:pPr>
              <w:spacing w:line="360" w:lineRule="auto"/>
              <w:jc w:val="center"/>
              <w:rPr>
                <w:rFonts w:ascii="宋体" w:hAnsi="宋体" w:cs="宋体"/>
                <w:kern w:val="0"/>
                <w:sz w:val="24"/>
              </w:rPr>
            </w:pPr>
          </w:p>
        </w:tc>
        <w:tc>
          <w:tcPr>
            <w:tcW w:w="2412" w:type="dxa"/>
            <w:vAlign w:val="center"/>
          </w:tcPr>
          <w:p>
            <w:pPr>
              <w:spacing w:line="360" w:lineRule="auto"/>
              <w:jc w:val="center"/>
              <w:rPr>
                <w:rFonts w:ascii="宋体" w:hAnsi="宋体" w:cs="宋体"/>
                <w:kern w:val="0"/>
                <w:sz w:val="24"/>
              </w:rPr>
            </w:pPr>
            <w:r>
              <w:rPr>
                <w:rFonts w:hint="eastAsia" w:ascii="宋体" w:hAnsi="宋体" w:cs="宋体"/>
                <w:sz w:val="24"/>
              </w:rPr>
              <w:t>新增政策匹配次数</w:t>
            </w:r>
          </w:p>
        </w:tc>
        <w:tc>
          <w:tcPr>
            <w:tcW w:w="1750" w:type="dxa"/>
            <w:vAlign w:val="center"/>
          </w:tcPr>
          <w:p>
            <w:pPr>
              <w:spacing w:line="360" w:lineRule="auto"/>
              <w:jc w:val="center"/>
              <w:rPr>
                <w:rFonts w:ascii="宋体" w:hAnsi="宋体" w:cs="宋体"/>
                <w:kern w:val="0"/>
                <w:sz w:val="24"/>
              </w:rPr>
            </w:pPr>
            <w:r>
              <w:rPr>
                <w:rFonts w:hint="eastAsia" w:ascii="宋体" w:hAnsi="宋体" w:cs="宋体"/>
                <w:sz w:val="24"/>
              </w:rPr>
              <w:t>&gt;=50000次</w:t>
            </w:r>
          </w:p>
        </w:tc>
        <w:tc>
          <w:tcPr>
            <w:tcW w:w="2238" w:type="dxa"/>
            <w:vAlign w:val="center"/>
          </w:tcPr>
          <w:p>
            <w:pPr>
              <w:spacing w:line="360" w:lineRule="auto"/>
              <w:jc w:val="center"/>
              <w:rPr>
                <w:rFonts w:ascii="宋体" w:hAnsi="宋体" w:cs="宋体"/>
                <w:kern w:val="0"/>
                <w:sz w:val="24"/>
              </w:rPr>
            </w:pPr>
            <w:r>
              <w:rPr>
                <w:rFonts w:hint="eastAsia" w:ascii="宋体" w:hAnsi="宋体" w:cs="宋体"/>
                <w:sz w:val="24"/>
              </w:rPr>
              <w:t>59048次</w:t>
            </w:r>
          </w:p>
        </w:tc>
        <w:tc>
          <w:tcPr>
            <w:tcW w:w="2388" w:type="dxa"/>
            <w:vAlign w:val="center"/>
          </w:tcPr>
          <w:p>
            <w:pPr>
              <w:spacing w:line="360" w:lineRule="auto"/>
              <w:jc w:val="center"/>
              <w:rPr>
                <w:rFonts w:ascii="宋体" w:hAnsi="宋体" w:cs="宋体"/>
                <w:kern w:val="0"/>
                <w:sz w:val="24"/>
              </w:rPr>
            </w:pPr>
            <w:r>
              <w:rPr>
                <w:rFonts w:hint="eastAsia" w:ascii="宋体" w:hAnsi="宋体" w:cs="宋体"/>
                <w:sz w:val="24"/>
              </w:rPr>
              <w:t>苏州市企业服务云平台验收报告</w:t>
            </w:r>
          </w:p>
        </w:tc>
        <w:tc>
          <w:tcPr>
            <w:tcW w:w="1474" w:type="dxa"/>
            <w:vAlign w:val="center"/>
          </w:tcPr>
          <w:p>
            <w:pPr>
              <w:spacing w:line="360" w:lineRule="auto"/>
              <w:jc w:val="center"/>
              <w:rPr>
                <w:rFonts w:ascii="宋体" w:hAnsi="宋体" w:cs="宋体"/>
                <w:kern w:val="0"/>
                <w:sz w:val="24"/>
              </w:rPr>
            </w:pPr>
            <w:r>
              <w:rPr>
                <w:rFonts w:hint="eastAsia" w:ascii="宋体" w:hAnsi="宋体" w:cs="宋体"/>
                <w:sz w:val="24"/>
              </w:rPr>
              <w:t>18.10%</w:t>
            </w:r>
          </w:p>
        </w:tc>
        <w:tc>
          <w:tcPr>
            <w:tcW w:w="1710" w:type="dxa"/>
          </w:tcPr>
          <w:p>
            <w:pPr>
              <w:spacing w:line="360" w:lineRule="auto"/>
              <w:rPr>
                <w:rFonts w:ascii="宋体" w:hAnsi="宋体" w:cs="宋体"/>
                <w:kern w:val="0"/>
                <w:sz w:val="22"/>
              </w:rPr>
            </w:pPr>
            <w:r>
              <w:rPr>
                <w:rFonts w:hint="eastAsia" w:ascii="宋体" w:hAnsi="宋体" w:cs="宋体"/>
                <w:sz w:val="24"/>
              </w:rPr>
              <w:t>“政策计算器”持续完善政策标签与企业标签体系，提升精准匹配计算，生成惠企政策最优路径。重点研发并引入AI智能分解技术，加快政策审核与分解流程。通过搭载“苏商通”、“助企通”平台，在资源汇聚与服务效能提升方面不断进步。</w:t>
            </w:r>
          </w:p>
        </w:tc>
      </w:tr>
    </w:tbl>
    <w:p>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3B49B9"/>
    <w:multiLevelType w:val="singleLevel"/>
    <w:tmpl w:val="A13B49B9"/>
    <w:lvl w:ilvl="0" w:tentative="0">
      <w:start w:val="1"/>
      <w:numFmt w:val="chineseCounting"/>
      <w:suff w:val="nothing"/>
      <w:lvlText w:val="（%1）"/>
      <w:lvlJc w:val="left"/>
      <w:rPr>
        <w:rFonts w:hint="eastAsia"/>
      </w:rPr>
    </w:lvl>
  </w:abstractNum>
  <w:abstractNum w:abstractNumId="1">
    <w:nsid w:val="5D7BB9F1"/>
    <w:multiLevelType w:val="singleLevel"/>
    <w:tmpl w:val="5D7BB9F1"/>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5F95FB4"/>
    <w:rsid w:val="17B84A32"/>
    <w:rsid w:val="18BB1C14"/>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42C2956"/>
    <w:rsid w:val="37922635"/>
    <w:rsid w:val="379540A7"/>
    <w:rsid w:val="3989156E"/>
    <w:rsid w:val="3A15477F"/>
    <w:rsid w:val="3A242466"/>
    <w:rsid w:val="3C47334E"/>
    <w:rsid w:val="3CB26D1E"/>
    <w:rsid w:val="3EF07F7A"/>
    <w:rsid w:val="43ED3C40"/>
    <w:rsid w:val="495323ED"/>
    <w:rsid w:val="4AF3601A"/>
    <w:rsid w:val="4BA315C9"/>
    <w:rsid w:val="4CC6446A"/>
    <w:rsid w:val="4D956F66"/>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964DC5"/>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czj</Company>
  <Pages>16</Pages>
  <Words>4839</Words>
  <Characters>5592</Characters>
  <Lines>6</Lines>
  <Paragraphs>1</Paragraphs>
  <TotalTime>11</TotalTime>
  <ScaleCrop>false</ScaleCrop>
  <LinksUpToDate>false</LinksUpToDate>
  <CharactersWithSpaces>5620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zq</cp:lastModifiedBy>
  <cp:lastPrinted>2019-06-21T02:10:00Z</cp:lastPrinted>
  <dcterms:modified xsi:type="dcterms:W3CDTF">2026-03-30T02:44:07Z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