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苏州市无线电管理监测站</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2025年，苏州市无线电管理机构紧扣“科学配置资源、提升监测能力、筑牢安全防线”主线，圆满完成各项年度履职目标 。全年累计办理行政许可647件，查处干扰25起，检查无线电台站及企业81次，保障各类考试25场次 。在服务经济发展方面，我局精准保障了天齐锂业等30家重点企业用频需求 ，助力轨道交通7、8号线及太仓港等重大基础设施建设 ，并积极探索低空经济频率保护机制，协调完成航产集团试验频率工作 。技术设施建设上，利用459万元专项资金推进吴中、相城及高新区3个固定监测站项目，进一步织密监测网络 ，并通过岗位练兵提升了90人次保障人员的实战能力 。安全防线筑牢方面，圆满完成元旦、两会及森林防火期保障任务 ，护航高考、公考等20项重大考试公平公正 ，并高效排查了涉及高铁、气象雷达及公众通信等领域的各类无线电干扰 。2026年，我局将持续优化许可流程 ，常态化开展台站数据质量治理 ，并依托信息化手段提升监测设施利用效率，确保无线电管理工作高质量开展 。</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为加强无线电管理，保证各种无线电业务正常进行，提供监测服务；监测无线电台（站）的程序和核定项目；查找无线电干扰源和未经批准使用的无线电台（站）；测定无线电设备的主要技术指标；检测工业、科学、医疗等非无线电设备的无线电波辐射；国家、地方无线电管理机构规定的其他职责。本单位独立机构数为1个，独立核算机构数为1个，无内设处室。</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年初预算数为448.06万元，年中调增预算627.75万元，调整后预算数为1075.81万元，实际支出数为1036.13万元，预算执行率达96.31%，其中基本支出492.52万元，项目支出543.61万元。</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存在问题：调整预算数较年初预算数偏离较多，主要原因是年内收到上级专项补助资金522.24万元，导致预算偏差率较大。改进措施：严格做好年初预算工作，从需求分析、历史数据应用等方面综合安排资金预算，持续做好预算执行监控与分析，提高预算准确性。</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绩效自评结果拟应用于下一年度预算整体支出安排参考，作为部门项目绩效考核的依据，整体绩效自评结果拟公开。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14:paraId="22F6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B947A46">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727E817C">
            <w:pPr>
              <w:widowControl/>
              <w:jc w:val="center"/>
              <w:rPr>
                <w:rFonts w:ascii="宋体" w:hAnsi="宋体" w:cs="宋体"/>
                <w:kern w:val="0"/>
                <w:sz w:val="24"/>
              </w:rPr>
            </w:pPr>
            <w:r>
              <w:rPr>
                <w:rFonts w:hint="eastAsia" w:ascii="宋体" w:hAnsi="宋体" w:cs="宋体"/>
                <w:sz w:val="24"/>
              </w:rPr>
              <w:t>448.06</w:t>
            </w:r>
          </w:p>
        </w:tc>
        <w:tc>
          <w:tcPr>
            <w:tcW w:w="2268" w:type="dxa"/>
            <w:vAlign w:val="center"/>
          </w:tcPr>
          <w:p w14:paraId="6F544EB2">
            <w:pPr>
              <w:widowControl/>
              <w:jc w:val="center"/>
              <w:rPr>
                <w:rFonts w:ascii="宋体" w:hAnsi="宋体" w:cs="宋体"/>
                <w:sz w:val="24"/>
              </w:rPr>
            </w:pPr>
            <w:r>
              <w:rPr>
                <w:rFonts w:hint="eastAsia" w:ascii="宋体" w:hAnsi="宋体" w:cs="宋体"/>
                <w:sz w:val="24"/>
              </w:rPr>
              <w:t>627.75</w:t>
            </w:r>
          </w:p>
        </w:tc>
        <w:tc>
          <w:tcPr>
            <w:tcW w:w="2268" w:type="dxa"/>
            <w:vAlign w:val="center"/>
          </w:tcPr>
          <w:p w14:paraId="3904FC34">
            <w:pPr>
              <w:widowControl/>
              <w:jc w:val="center"/>
              <w:rPr>
                <w:rFonts w:ascii="宋体" w:hAnsi="宋体" w:cs="宋体"/>
                <w:sz w:val="24"/>
              </w:rPr>
            </w:pPr>
            <w:r>
              <w:rPr>
                <w:rFonts w:hint="eastAsia" w:ascii="宋体" w:hAnsi="宋体" w:cs="宋体"/>
                <w:sz w:val="24"/>
              </w:rPr>
              <w:t>1075.81</w:t>
            </w:r>
          </w:p>
        </w:tc>
        <w:tc>
          <w:tcPr>
            <w:tcW w:w="2268" w:type="dxa"/>
            <w:vAlign w:val="center"/>
          </w:tcPr>
          <w:p w14:paraId="42B6ACA4">
            <w:pPr>
              <w:widowControl/>
              <w:jc w:val="center"/>
              <w:rPr>
                <w:rFonts w:ascii="宋体" w:hAnsi="宋体" w:cs="宋体"/>
                <w:sz w:val="24"/>
              </w:rPr>
            </w:pPr>
            <w:r>
              <w:rPr>
                <w:rFonts w:hint="eastAsia" w:ascii="宋体" w:hAnsi="宋体" w:cs="宋体"/>
                <w:sz w:val="24"/>
              </w:rPr>
              <w:t>1036.13</w:t>
            </w:r>
          </w:p>
        </w:tc>
        <w:tc>
          <w:tcPr>
            <w:tcW w:w="2268" w:type="dxa"/>
            <w:vAlign w:val="center"/>
          </w:tcPr>
          <w:p w14:paraId="5301DA83">
            <w:pPr>
              <w:widowControl/>
              <w:jc w:val="center"/>
              <w:rPr>
                <w:rFonts w:ascii="宋体" w:hAnsi="宋体" w:cs="宋体"/>
                <w:sz w:val="24"/>
              </w:rPr>
            </w:pPr>
            <w:r>
              <w:rPr>
                <w:rFonts w:hint="eastAsia" w:ascii="宋体" w:hAnsi="宋体" w:cs="宋体"/>
                <w:sz w:val="24"/>
              </w:rPr>
              <w:t>96.31%</w:t>
            </w:r>
          </w:p>
        </w:tc>
      </w:tr>
      <w:tr w14:paraId="3D23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E9B0035">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56DA3472">
            <w:pPr>
              <w:widowControl/>
              <w:jc w:val="center"/>
              <w:rPr>
                <w:rFonts w:ascii="宋体" w:hAnsi="宋体" w:cs="宋体"/>
                <w:kern w:val="0"/>
                <w:sz w:val="24"/>
              </w:rPr>
            </w:pPr>
            <w:r>
              <w:rPr>
                <w:rFonts w:hint="eastAsia" w:ascii="宋体" w:hAnsi="宋体" w:cs="宋体"/>
                <w:sz w:val="24"/>
              </w:rPr>
              <w:t>419.34</w:t>
            </w:r>
          </w:p>
        </w:tc>
        <w:tc>
          <w:tcPr>
            <w:tcW w:w="2268" w:type="dxa"/>
            <w:vAlign w:val="center"/>
          </w:tcPr>
          <w:p w14:paraId="306C939A">
            <w:pPr>
              <w:widowControl/>
              <w:jc w:val="center"/>
              <w:rPr>
                <w:rFonts w:ascii="宋体" w:hAnsi="宋体" w:cs="宋体"/>
                <w:sz w:val="24"/>
              </w:rPr>
            </w:pPr>
            <w:r>
              <w:rPr>
                <w:rFonts w:hint="eastAsia" w:ascii="宋体" w:hAnsi="宋体" w:cs="宋体"/>
                <w:sz w:val="24"/>
              </w:rPr>
              <w:t>73.18</w:t>
            </w:r>
          </w:p>
        </w:tc>
        <w:tc>
          <w:tcPr>
            <w:tcW w:w="2268" w:type="dxa"/>
            <w:vAlign w:val="center"/>
          </w:tcPr>
          <w:p w14:paraId="68A4CD00">
            <w:pPr>
              <w:widowControl/>
              <w:jc w:val="center"/>
              <w:rPr>
                <w:rFonts w:ascii="宋体" w:hAnsi="宋体" w:cs="宋体"/>
                <w:sz w:val="24"/>
              </w:rPr>
            </w:pPr>
            <w:r>
              <w:rPr>
                <w:rFonts w:hint="eastAsia" w:ascii="宋体" w:hAnsi="宋体" w:cs="宋体"/>
                <w:sz w:val="24"/>
              </w:rPr>
              <w:t>492.52</w:t>
            </w:r>
          </w:p>
        </w:tc>
        <w:tc>
          <w:tcPr>
            <w:tcW w:w="2268" w:type="dxa"/>
            <w:vAlign w:val="center"/>
          </w:tcPr>
          <w:p w14:paraId="1005158A">
            <w:pPr>
              <w:widowControl/>
              <w:jc w:val="center"/>
              <w:rPr>
                <w:rFonts w:ascii="宋体" w:hAnsi="宋体" w:cs="宋体"/>
                <w:sz w:val="24"/>
              </w:rPr>
            </w:pPr>
            <w:r>
              <w:rPr>
                <w:rFonts w:hint="eastAsia" w:ascii="宋体" w:hAnsi="宋体" w:cs="宋体"/>
                <w:sz w:val="24"/>
              </w:rPr>
              <w:t>492.52</w:t>
            </w:r>
          </w:p>
        </w:tc>
        <w:tc>
          <w:tcPr>
            <w:tcW w:w="2268" w:type="dxa"/>
            <w:vAlign w:val="center"/>
          </w:tcPr>
          <w:p w14:paraId="05A60A37">
            <w:pPr>
              <w:widowControl/>
              <w:jc w:val="center"/>
              <w:rPr>
                <w:rFonts w:ascii="宋体" w:hAnsi="宋体" w:cs="宋体"/>
                <w:sz w:val="24"/>
              </w:rPr>
            </w:pPr>
            <w:r>
              <w:rPr>
                <w:rFonts w:hint="eastAsia" w:ascii="宋体" w:hAnsi="宋体" w:cs="宋体"/>
                <w:sz w:val="24"/>
              </w:rPr>
              <w:t>100.00%</w:t>
            </w:r>
          </w:p>
        </w:tc>
      </w:tr>
      <w:tr w14:paraId="0A7B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FA713F5">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3ED615D1">
            <w:pPr>
              <w:widowControl/>
              <w:jc w:val="center"/>
              <w:rPr>
                <w:rFonts w:ascii="宋体" w:hAnsi="宋体" w:cs="宋体"/>
                <w:kern w:val="0"/>
                <w:sz w:val="24"/>
              </w:rPr>
            </w:pPr>
            <w:r>
              <w:rPr>
                <w:rFonts w:hint="eastAsia" w:ascii="宋体" w:hAnsi="宋体" w:cs="宋体"/>
                <w:sz w:val="24"/>
              </w:rPr>
              <w:t>28.72</w:t>
            </w:r>
          </w:p>
        </w:tc>
        <w:tc>
          <w:tcPr>
            <w:tcW w:w="2268" w:type="dxa"/>
            <w:vAlign w:val="center"/>
          </w:tcPr>
          <w:p w14:paraId="6E99EA3B">
            <w:pPr>
              <w:widowControl/>
              <w:jc w:val="center"/>
              <w:rPr>
                <w:rFonts w:ascii="宋体" w:hAnsi="宋体" w:cs="宋体"/>
                <w:sz w:val="24"/>
              </w:rPr>
            </w:pPr>
            <w:r>
              <w:rPr>
                <w:rFonts w:hint="eastAsia" w:ascii="宋体" w:hAnsi="宋体" w:cs="宋体"/>
                <w:sz w:val="24"/>
              </w:rPr>
              <w:t>554.57</w:t>
            </w:r>
          </w:p>
        </w:tc>
        <w:tc>
          <w:tcPr>
            <w:tcW w:w="2268" w:type="dxa"/>
            <w:vAlign w:val="center"/>
          </w:tcPr>
          <w:p w14:paraId="39109114">
            <w:pPr>
              <w:widowControl/>
              <w:jc w:val="center"/>
              <w:rPr>
                <w:rFonts w:ascii="宋体" w:hAnsi="宋体" w:cs="宋体"/>
                <w:sz w:val="24"/>
              </w:rPr>
            </w:pPr>
            <w:r>
              <w:rPr>
                <w:rFonts w:hint="eastAsia" w:ascii="宋体" w:hAnsi="宋体" w:cs="宋体"/>
                <w:sz w:val="24"/>
              </w:rPr>
              <w:t>583.29</w:t>
            </w:r>
          </w:p>
        </w:tc>
        <w:tc>
          <w:tcPr>
            <w:tcW w:w="2268" w:type="dxa"/>
            <w:vAlign w:val="center"/>
          </w:tcPr>
          <w:p w14:paraId="4F6A6821">
            <w:pPr>
              <w:widowControl/>
              <w:jc w:val="center"/>
              <w:rPr>
                <w:rFonts w:ascii="宋体" w:hAnsi="宋体" w:cs="宋体"/>
                <w:sz w:val="24"/>
              </w:rPr>
            </w:pPr>
            <w:r>
              <w:rPr>
                <w:rFonts w:hint="eastAsia" w:ascii="宋体" w:hAnsi="宋体" w:cs="宋体"/>
                <w:sz w:val="24"/>
              </w:rPr>
              <w:t>543.61</w:t>
            </w:r>
          </w:p>
        </w:tc>
        <w:tc>
          <w:tcPr>
            <w:tcW w:w="2268" w:type="dxa"/>
            <w:vAlign w:val="center"/>
          </w:tcPr>
          <w:p w14:paraId="48758DD9">
            <w:pPr>
              <w:widowControl/>
              <w:jc w:val="center"/>
              <w:rPr>
                <w:rFonts w:ascii="宋体" w:hAnsi="宋体" w:cs="宋体"/>
                <w:sz w:val="24"/>
              </w:rPr>
            </w:pPr>
            <w:r>
              <w:rPr>
                <w:rFonts w:hint="eastAsia" w:ascii="宋体" w:hAnsi="宋体" w:cs="宋体"/>
                <w:sz w:val="24"/>
              </w:rPr>
              <w:t>93.20%</w:t>
            </w:r>
          </w:p>
        </w:tc>
      </w:tr>
      <w:tr w14:paraId="0093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16E98DB">
            <w:pPr>
              <w:widowControl/>
              <w:jc w:val="left"/>
              <w:rPr>
                <w:rFonts w:ascii="宋体" w:hAnsi="宋体" w:cs="宋体"/>
                <w:kern w:val="0"/>
                <w:sz w:val="24"/>
              </w:rPr>
            </w:pPr>
            <w:r>
              <w:rPr>
                <w:rFonts w:hint="eastAsia" w:ascii="宋体" w:hAnsi="宋体" w:cs="宋体"/>
                <w:sz w:val="24"/>
              </w:rPr>
              <w:t>房屋维修维护费</w:t>
            </w:r>
          </w:p>
        </w:tc>
        <w:tc>
          <w:tcPr>
            <w:tcW w:w="2268" w:type="dxa"/>
            <w:vAlign w:val="center"/>
          </w:tcPr>
          <w:p w14:paraId="368F6CFF">
            <w:pPr>
              <w:widowControl/>
              <w:jc w:val="center"/>
              <w:rPr>
                <w:rFonts w:ascii="宋体" w:hAnsi="宋体" w:cs="宋体"/>
                <w:kern w:val="0"/>
                <w:sz w:val="24"/>
              </w:rPr>
            </w:pPr>
            <w:r>
              <w:rPr>
                <w:rFonts w:hint="eastAsia" w:ascii="宋体" w:hAnsi="宋体" w:cs="宋体"/>
                <w:sz w:val="24"/>
              </w:rPr>
              <w:t>6.62</w:t>
            </w:r>
          </w:p>
        </w:tc>
        <w:tc>
          <w:tcPr>
            <w:tcW w:w="2268" w:type="dxa"/>
            <w:vAlign w:val="center"/>
          </w:tcPr>
          <w:p w14:paraId="32D6EB56">
            <w:pPr>
              <w:widowControl/>
              <w:jc w:val="center"/>
              <w:rPr>
                <w:rFonts w:ascii="宋体" w:hAnsi="宋体" w:cs="宋体"/>
                <w:sz w:val="24"/>
              </w:rPr>
            </w:pPr>
            <w:r>
              <w:rPr>
                <w:rFonts w:hint="eastAsia" w:ascii="宋体" w:hAnsi="宋体" w:cs="宋体"/>
                <w:sz w:val="24"/>
              </w:rPr>
              <w:t>0</w:t>
            </w:r>
          </w:p>
        </w:tc>
        <w:tc>
          <w:tcPr>
            <w:tcW w:w="2268" w:type="dxa"/>
            <w:vAlign w:val="center"/>
          </w:tcPr>
          <w:p w14:paraId="5B8CC08A">
            <w:pPr>
              <w:widowControl/>
              <w:jc w:val="center"/>
              <w:rPr>
                <w:rFonts w:ascii="宋体" w:hAnsi="宋体" w:cs="宋体"/>
                <w:sz w:val="24"/>
              </w:rPr>
            </w:pPr>
            <w:r>
              <w:rPr>
                <w:rFonts w:hint="eastAsia" w:ascii="宋体" w:hAnsi="宋体" w:cs="宋体"/>
                <w:sz w:val="24"/>
              </w:rPr>
              <w:t>6.62</w:t>
            </w:r>
          </w:p>
        </w:tc>
        <w:tc>
          <w:tcPr>
            <w:tcW w:w="2268" w:type="dxa"/>
            <w:vAlign w:val="center"/>
          </w:tcPr>
          <w:p w14:paraId="51C12EDB">
            <w:pPr>
              <w:widowControl/>
              <w:jc w:val="center"/>
              <w:rPr>
                <w:rFonts w:ascii="宋体" w:hAnsi="宋体" w:cs="宋体"/>
                <w:sz w:val="24"/>
              </w:rPr>
            </w:pPr>
            <w:r>
              <w:rPr>
                <w:rFonts w:hint="eastAsia" w:ascii="宋体" w:hAnsi="宋体" w:cs="宋体"/>
                <w:sz w:val="24"/>
              </w:rPr>
              <w:t>0</w:t>
            </w:r>
          </w:p>
        </w:tc>
        <w:tc>
          <w:tcPr>
            <w:tcW w:w="2268" w:type="dxa"/>
            <w:vAlign w:val="center"/>
          </w:tcPr>
          <w:p w14:paraId="038FEE89">
            <w:pPr>
              <w:widowControl/>
              <w:jc w:val="center"/>
              <w:rPr>
                <w:rFonts w:ascii="宋体" w:hAnsi="宋体" w:cs="宋体"/>
                <w:sz w:val="24"/>
              </w:rPr>
            </w:pPr>
            <w:r>
              <w:rPr>
                <w:rFonts w:hint="eastAsia" w:ascii="宋体" w:hAnsi="宋体" w:cs="宋体"/>
                <w:sz w:val="24"/>
              </w:rPr>
              <w:t>0.00%</w:t>
            </w:r>
          </w:p>
        </w:tc>
      </w:tr>
      <w:tr w14:paraId="7385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0273092">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14:paraId="213763E6">
            <w:pPr>
              <w:widowControl/>
              <w:jc w:val="center"/>
              <w:rPr>
                <w:rFonts w:ascii="宋体" w:hAnsi="宋体" w:cs="宋体"/>
                <w:kern w:val="0"/>
                <w:sz w:val="24"/>
              </w:rPr>
            </w:pPr>
            <w:r>
              <w:rPr>
                <w:rFonts w:hint="eastAsia" w:ascii="宋体" w:hAnsi="宋体" w:cs="宋体"/>
                <w:sz w:val="24"/>
              </w:rPr>
              <w:t>14.6</w:t>
            </w:r>
          </w:p>
        </w:tc>
        <w:tc>
          <w:tcPr>
            <w:tcW w:w="2268" w:type="dxa"/>
            <w:vAlign w:val="center"/>
          </w:tcPr>
          <w:p w14:paraId="242C2B7D">
            <w:pPr>
              <w:widowControl/>
              <w:jc w:val="center"/>
              <w:rPr>
                <w:rFonts w:ascii="宋体" w:hAnsi="宋体" w:cs="宋体"/>
                <w:sz w:val="24"/>
              </w:rPr>
            </w:pPr>
            <w:r>
              <w:rPr>
                <w:rFonts w:hint="eastAsia" w:ascii="宋体" w:hAnsi="宋体" w:cs="宋体"/>
                <w:sz w:val="24"/>
              </w:rPr>
              <w:t>0</w:t>
            </w:r>
          </w:p>
        </w:tc>
        <w:tc>
          <w:tcPr>
            <w:tcW w:w="2268" w:type="dxa"/>
            <w:vAlign w:val="center"/>
          </w:tcPr>
          <w:p w14:paraId="0D5ABE54">
            <w:pPr>
              <w:widowControl/>
              <w:jc w:val="center"/>
              <w:rPr>
                <w:rFonts w:ascii="宋体" w:hAnsi="宋体" w:cs="宋体"/>
                <w:sz w:val="24"/>
              </w:rPr>
            </w:pPr>
            <w:r>
              <w:rPr>
                <w:rFonts w:hint="eastAsia" w:ascii="宋体" w:hAnsi="宋体" w:cs="宋体"/>
                <w:sz w:val="24"/>
              </w:rPr>
              <w:t>14.6</w:t>
            </w:r>
          </w:p>
        </w:tc>
        <w:tc>
          <w:tcPr>
            <w:tcW w:w="2268" w:type="dxa"/>
            <w:vAlign w:val="center"/>
          </w:tcPr>
          <w:p w14:paraId="79BD183E">
            <w:pPr>
              <w:widowControl/>
              <w:jc w:val="center"/>
              <w:rPr>
                <w:rFonts w:ascii="宋体" w:hAnsi="宋体" w:cs="宋体"/>
                <w:sz w:val="24"/>
              </w:rPr>
            </w:pPr>
            <w:r>
              <w:rPr>
                <w:rFonts w:hint="eastAsia" w:ascii="宋体" w:hAnsi="宋体" w:cs="宋体"/>
                <w:sz w:val="24"/>
              </w:rPr>
              <w:t>14.48</w:t>
            </w:r>
          </w:p>
        </w:tc>
        <w:tc>
          <w:tcPr>
            <w:tcW w:w="2268" w:type="dxa"/>
            <w:vAlign w:val="center"/>
          </w:tcPr>
          <w:p w14:paraId="3FF35B51">
            <w:pPr>
              <w:widowControl/>
              <w:jc w:val="center"/>
              <w:rPr>
                <w:rFonts w:ascii="宋体" w:hAnsi="宋体" w:cs="宋体"/>
                <w:sz w:val="24"/>
              </w:rPr>
            </w:pPr>
            <w:r>
              <w:rPr>
                <w:rFonts w:hint="eastAsia" w:ascii="宋体" w:hAnsi="宋体" w:cs="宋体"/>
                <w:sz w:val="24"/>
              </w:rPr>
              <w:t>99.18%</w:t>
            </w:r>
          </w:p>
        </w:tc>
      </w:tr>
      <w:tr w14:paraId="5465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36F17F2">
            <w:pPr>
              <w:widowControl/>
              <w:jc w:val="left"/>
              <w:rPr>
                <w:rFonts w:ascii="宋体" w:hAnsi="宋体" w:cs="宋体"/>
                <w:kern w:val="0"/>
                <w:sz w:val="24"/>
              </w:rPr>
            </w:pPr>
            <w:r>
              <w:rPr>
                <w:rFonts w:hint="eastAsia" w:ascii="宋体" w:hAnsi="宋体" w:cs="宋体"/>
                <w:sz w:val="24"/>
              </w:rPr>
              <w:t>专项委托业务费</w:t>
            </w:r>
          </w:p>
        </w:tc>
        <w:tc>
          <w:tcPr>
            <w:tcW w:w="2268" w:type="dxa"/>
            <w:vAlign w:val="center"/>
          </w:tcPr>
          <w:p w14:paraId="01CC447F">
            <w:pPr>
              <w:widowControl/>
              <w:jc w:val="center"/>
              <w:rPr>
                <w:rFonts w:ascii="宋体" w:hAnsi="宋体" w:cs="宋体"/>
                <w:kern w:val="0"/>
                <w:sz w:val="24"/>
              </w:rPr>
            </w:pPr>
            <w:r>
              <w:rPr>
                <w:rFonts w:hint="eastAsia" w:ascii="宋体" w:hAnsi="宋体" w:cs="宋体"/>
                <w:sz w:val="24"/>
              </w:rPr>
              <w:t>2</w:t>
            </w:r>
          </w:p>
        </w:tc>
        <w:tc>
          <w:tcPr>
            <w:tcW w:w="2268" w:type="dxa"/>
            <w:vAlign w:val="center"/>
          </w:tcPr>
          <w:p w14:paraId="66216B39">
            <w:pPr>
              <w:widowControl/>
              <w:jc w:val="center"/>
              <w:rPr>
                <w:rFonts w:ascii="宋体" w:hAnsi="宋体" w:cs="宋体"/>
                <w:sz w:val="24"/>
              </w:rPr>
            </w:pPr>
            <w:r>
              <w:rPr>
                <w:rFonts w:hint="eastAsia" w:ascii="宋体" w:hAnsi="宋体" w:cs="宋体"/>
                <w:sz w:val="24"/>
              </w:rPr>
              <w:t>0</w:t>
            </w:r>
          </w:p>
        </w:tc>
        <w:tc>
          <w:tcPr>
            <w:tcW w:w="2268" w:type="dxa"/>
            <w:vAlign w:val="center"/>
          </w:tcPr>
          <w:p w14:paraId="77F9D739">
            <w:pPr>
              <w:widowControl/>
              <w:jc w:val="center"/>
              <w:rPr>
                <w:rFonts w:ascii="宋体" w:hAnsi="宋体" w:cs="宋体"/>
                <w:sz w:val="24"/>
              </w:rPr>
            </w:pPr>
            <w:r>
              <w:rPr>
                <w:rFonts w:hint="eastAsia" w:ascii="宋体" w:hAnsi="宋体" w:cs="宋体"/>
                <w:sz w:val="24"/>
              </w:rPr>
              <w:t>2</w:t>
            </w:r>
          </w:p>
        </w:tc>
        <w:tc>
          <w:tcPr>
            <w:tcW w:w="2268" w:type="dxa"/>
            <w:vAlign w:val="center"/>
          </w:tcPr>
          <w:p w14:paraId="067F85AD">
            <w:pPr>
              <w:widowControl/>
              <w:jc w:val="center"/>
              <w:rPr>
                <w:rFonts w:ascii="宋体" w:hAnsi="宋体" w:cs="宋体"/>
                <w:sz w:val="24"/>
              </w:rPr>
            </w:pPr>
            <w:r>
              <w:rPr>
                <w:rFonts w:hint="eastAsia" w:ascii="宋体" w:hAnsi="宋体" w:cs="宋体"/>
                <w:sz w:val="24"/>
              </w:rPr>
              <w:t>1.96</w:t>
            </w:r>
          </w:p>
        </w:tc>
        <w:tc>
          <w:tcPr>
            <w:tcW w:w="2268" w:type="dxa"/>
            <w:vAlign w:val="center"/>
          </w:tcPr>
          <w:p w14:paraId="0AAC9213">
            <w:pPr>
              <w:widowControl/>
              <w:jc w:val="center"/>
              <w:rPr>
                <w:rFonts w:ascii="宋体" w:hAnsi="宋体" w:cs="宋体"/>
                <w:sz w:val="24"/>
              </w:rPr>
            </w:pPr>
            <w:r>
              <w:rPr>
                <w:rFonts w:hint="eastAsia" w:ascii="宋体" w:hAnsi="宋体" w:cs="宋体"/>
                <w:sz w:val="24"/>
              </w:rPr>
              <w:t>98.00%</w:t>
            </w:r>
          </w:p>
        </w:tc>
      </w:tr>
      <w:tr w14:paraId="643C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2D058A0">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14:paraId="4B088998">
            <w:pPr>
              <w:widowControl/>
              <w:jc w:val="center"/>
              <w:rPr>
                <w:rFonts w:ascii="宋体" w:hAnsi="宋体" w:cs="宋体"/>
                <w:kern w:val="0"/>
                <w:sz w:val="24"/>
              </w:rPr>
            </w:pPr>
            <w:r>
              <w:rPr>
                <w:rFonts w:hint="eastAsia" w:ascii="宋体" w:hAnsi="宋体" w:cs="宋体"/>
                <w:sz w:val="24"/>
              </w:rPr>
              <w:t>3</w:t>
            </w:r>
          </w:p>
        </w:tc>
        <w:tc>
          <w:tcPr>
            <w:tcW w:w="2268" w:type="dxa"/>
            <w:vAlign w:val="center"/>
          </w:tcPr>
          <w:p w14:paraId="544A8AA3">
            <w:pPr>
              <w:widowControl/>
              <w:jc w:val="center"/>
              <w:rPr>
                <w:rFonts w:ascii="宋体" w:hAnsi="宋体" w:cs="宋体"/>
                <w:sz w:val="24"/>
              </w:rPr>
            </w:pPr>
            <w:r>
              <w:rPr>
                <w:rFonts w:hint="eastAsia" w:ascii="宋体" w:hAnsi="宋体" w:cs="宋体"/>
                <w:sz w:val="24"/>
              </w:rPr>
              <w:t>0</w:t>
            </w:r>
          </w:p>
        </w:tc>
        <w:tc>
          <w:tcPr>
            <w:tcW w:w="2268" w:type="dxa"/>
            <w:vAlign w:val="center"/>
          </w:tcPr>
          <w:p w14:paraId="7D07888D">
            <w:pPr>
              <w:widowControl/>
              <w:jc w:val="center"/>
              <w:rPr>
                <w:rFonts w:ascii="宋体" w:hAnsi="宋体" w:cs="宋体"/>
                <w:sz w:val="24"/>
              </w:rPr>
            </w:pPr>
            <w:r>
              <w:rPr>
                <w:rFonts w:hint="eastAsia" w:ascii="宋体" w:hAnsi="宋体" w:cs="宋体"/>
                <w:sz w:val="24"/>
              </w:rPr>
              <w:t>3</w:t>
            </w:r>
          </w:p>
        </w:tc>
        <w:tc>
          <w:tcPr>
            <w:tcW w:w="2268" w:type="dxa"/>
            <w:vAlign w:val="center"/>
          </w:tcPr>
          <w:p w14:paraId="5618D499">
            <w:pPr>
              <w:widowControl/>
              <w:jc w:val="center"/>
              <w:rPr>
                <w:rFonts w:ascii="宋体" w:hAnsi="宋体" w:cs="宋体"/>
                <w:sz w:val="24"/>
              </w:rPr>
            </w:pPr>
            <w:r>
              <w:rPr>
                <w:rFonts w:hint="eastAsia" w:ascii="宋体" w:hAnsi="宋体" w:cs="宋体"/>
                <w:sz w:val="24"/>
              </w:rPr>
              <w:t>2.43</w:t>
            </w:r>
          </w:p>
        </w:tc>
        <w:tc>
          <w:tcPr>
            <w:tcW w:w="2268" w:type="dxa"/>
            <w:vAlign w:val="center"/>
          </w:tcPr>
          <w:p w14:paraId="504C74E5">
            <w:pPr>
              <w:widowControl/>
              <w:jc w:val="center"/>
              <w:rPr>
                <w:rFonts w:ascii="宋体" w:hAnsi="宋体" w:cs="宋体"/>
                <w:sz w:val="24"/>
              </w:rPr>
            </w:pPr>
            <w:r>
              <w:rPr>
                <w:rFonts w:hint="eastAsia" w:ascii="宋体" w:hAnsi="宋体" w:cs="宋体"/>
                <w:sz w:val="24"/>
              </w:rPr>
              <w:t>81.00%</w:t>
            </w:r>
          </w:p>
        </w:tc>
      </w:tr>
      <w:tr w14:paraId="020E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ACAE3B1">
            <w:pPr>
              <w:widowControl/>
              <w:jc w:val="left"/>
              <w:rPr>
                <w:rFonts w:ascii="宋体" w:hAnsi="宋体" w:cs="宋体"/>
                <w:kern w:val="0"/>
                <w:sz w:val="24"/>
              </w:rPr>
            </w:pPr>
            <w:r>
              <w:rPr>
                <w:rFonts w:hint="eastAsia" w:ascii="宋体" w:hAnsi="宋体" w:cs="宋体"/>
                <w:sz w:val="24"/>
              </w:rPr>
              <w:t>专项业务用水用电用气</w:t>
            </w:r>
          </w:p>
        </w:tc>
        <w:tc>
          <w:tcPr>
            <w:tcW w:w="2268" w:type="dxa"/>
            <w:vAlign w:val="center"/>
          </w:tcPr>
          <w:p w14:paraId="4236CE8A">
            <w:pPr>
              <w:widowControl/>
              <w:jc w:val="center"/>
              <w:rPr>
                <w:rFonts w:ascii="宋体" w:hAnsi="宋体" w:cs="宋体"/>
                <w:kern w:val="0"/>
                <w:sz w:val="24"/>
              </w:rPr>
            </w:pPr>
            <w:r>
              <w:rPr>
                <w:rFonts w:hint="eastAsia" w:ascii="宋体" w:hAnsi="宋体" w:cs="宋体"/>
                <w:sz w:val="24"/>
              </w:rPr>
              <w:t>2.5</w:t>
            </w:r>
          </w:p>
        </w:tc>
        <w:tc>
          <w:tcPr>
            <w:tcW w:w="2268" w:type="dxa"/>
            <w:vAlign w:val="center"/>
          </w:tcPr>
          <w:p w14:paraId="7DE46662">
            <w:pPr>
              <w:widowControl/>
              <w:jc w:val="center"/>
              <w:rPr>
                <w:rFonts w:ascii="宋体" w:hAnsi="宋体" w:cs="宋体"/>
                <w:sz w:val="24"/>
              </w:rPr>
            </w:pPr>
            <w:r>
              <w:rPr>
                <w:rFonts w:hint="eastAsia" w:ascii="宋体" w:hAnsi="宋体" w:cs="宋体"/>
                <w:sz w:val="24"/>
              </w:rPr>
              <w:t>0</w:t>
            </w:r>
          </w:p>
        </w:tc>
        <w:tc>
          <w:tcPr>
            <w:tcW w:w="2268" w:type="dxa"/>
            <w:vAlign w:val="center"/>
          </w:tcPr>
          <w:p w14:paraId="1055BBF7">
            <w:pPr>
              <w:widowControl/>
              <w:jc w:val="center"/>
              <w:rPr>
                <w:rFonts w:ascii="宋体" w:hAnsi="宋体" w:cs="宋体"/>
                <w:sz w:val="24"/>
              </w:rPr>
            </w:pPr>
            <w:r>
              <w:rPr>
                <w:rFonts w:hint="eastAsia" w:ascii="宋体" w:hAnsi="宋体" w:cs="宋体"/>
                <w:sz w:val="24"/>
              </w:rPr>
              <w:t>2.5</w:t>
            </w:r>
          </w:p>
        </w:tc>
        <w:tc>
          <w:tcPr>
            <w:tcW w:w="2268" w:type="dxa"/>
            <w:vAlign w:val="center"/>
          </w:tcPr>
          <w:p w14:paraId="65C669D8">
            <w:pPr>
              <w:widowControl/>
              <w:jc w:val="center"/>
              <w:rPr>
                <w:rFonts w:ascii="宋体" w:hAnsi="宋体" w:cs="宋体"/>
                <w:sz w:val="24"/>
              </w:rPr>
            </w:pPr>
            <w:r>
              <w:rPr>
                <w:rFonts w:hint="eastAsia" w:ascii="宋体" w:hAnsi="宋体" w:cs="宋体"/>
                <w:sz w:val="24"/>
              </w:rPr>
              <w:t>2.5</w:t>
            </w:r>
          </w:p>
        </w:tc>
        <w:tc>
          <w:tcPr>
            <w:tcW w:w="2268" w:type="dxa"/>
            <w:vAlign w:val="center"/>
          </w:tcPr>
          <w:p w14:paraId="5A0CC8D4">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14:paraId="40D8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17EDD036">
            <w:pPr>
              <w:widowControl/>
              <w:jc w:val="center"/>
              <w:rPr>
                <w:rFonts w:ascii="宋体" w:hAnsi="宋体" w:cs="宋体"/>
                <w:kern w:val="0"/>
                <w:sz w:val="24"/>
              </w:rPr>
            </w:pPr>
            <w:r>
              <w:rPr>
                <w:rFonts w:hint="eastAsia" w:ascii="宋体" w:hAnsi="宋体" w:cs="宋体"/>
                <w:sz w:val="24"/>
              </w:rPr>
              <w:t>电波秩序维护</w:t>
            </w:r>
          </w:p>
        </w:tc>
        <w:tc>
          <w:tcPr>
            <w:tcW w:w="3818" w:type="dxa"/>
            <w:vAlign w:val="center"/>
          </w:tcPr>
          <w:p w14:paraId="7E250CBD">
            <w:pPr>
              <w:widowControl/>
              <w:jc w:val="center"/>
              <w:rPr>
                <w:rFonts w:ascii="宋体" w:hAnsi="宋体" w:cs="宋体"/>
                <w:sz w:val="24"/>
              </w:rPr>
            </w:pPr>
            <w:r>
              <w:rPr>
                <w:rFonts w:hint="eastAsia" w:ascii="宋体" w:hAnsi="宋体" w:cs="宋体"/>
                <w:sz w:val="24"/>
              </w:rPr>
              <w:t>查找未经许可或未按照许可事项使用无线电频率、设置无线电台站</w:t>
            </w:r>
          </w:p>
        </w:tc>
        <w:tc>
          <w:tcPr>
            <w:tcW w:w="6280" w:type="dxa"/>
            <w:vAlign w:val="center"/>
          </w:tcPr>
          <w:p w14:paraId="39E0038C">
            <w:pPr>
              <w:widowControl/>
              <w:jc w:val="center"/>
              <w:rPr>
                <w:rFonts w:ascii="宋体" w:hAnsi="宋体" w:cs="宋体"/>
                <w:sz w:val="24"/>
              </w:rPr>
            </w:pPr>
            <w:r>
              <w:rPr>
                <w:rFonts w:hint="eastAsia" w:ascii="宋体" w:hAnsi="宋体" w:cs="宋体"/>
                <w:sz w:val="24"/>
              </w:rPr>
              <w:t>全年累计查处并立案4起非法设台用频行为，包括取缔施工现场非法设台及查处学校周边非法手机信号放大器 。</w:t>
            </w:r>
          </w:p>
        </w:tc>
      </w:tr>
      <w:tr w14:paraId="456F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C8524F3">
            <w:pPr>
              <w:widowControl/>
              <w:jc w:val="center"/>
              <w:rPr>
                <w:rFonts w:ascii="宋体" w:hAnsi="宋体" w:cs="宋体"/>
                <w:kern w:val="0"/>
                <w:sz w:val="24"/>
              </w:rPr>
            </w:pPr>
          </w:p>
        </w:tc>
        <w:tc>
          <w:tcPr>
            <w:tcW w:w="3818" w:type="dxa"/>
            <w:vAlign w:val="center"/>
          </w:tcPr>
          <w:p w14:paraId="7F1D5FF1">
            <w:pPr>
              <w:widowControl/>
              <w:jc w:val="center"/>
              <w:rPr>
                <w:rFonts w:ascii="宋体" w:hAnsi="宋体" w:cs="宋体"/>
                <w:sz w:val="24"/>
              </w:rPr>
            </w:pPr>
            <w:r>
              <w:rPr>
                <w:rFonts w:hint="eastAsia" w:ascii="宋体" w:hAnsi="宋体" w:cs="宋体"/>
                <w:sz w:val="24"/>
              </w:rPr>
              <w:t>打击黑广播、伪基 站、电信诈骗设备</w:t>
            </w:r>
          </w:p>
        </w:tc>
        <w:tc>
          <w:tcPr>
            <w:tcW w:w="6280" w:type="dxa"/>
            <w:vAlign w:val="center"/>
          </w:tcPr>
          <w:p w14:paraId="51E0633A">
            <w:pPr>
              <w:widowControl/>
              <w:jc w:val="center"/>
              <w:rPr>
                <w:rFonts w:ascii="宋体" w:hAnsi="宋体" w:cs="宋体"/>
                <w:sz w:val="24"/>
              </w:rPr>
            </w:pPr>
            <w:r>
              <w:rPr>
                <w:rFonts w:hint="eastAsia" w:ascii="宋体" w:hAnsi="宋体" w:cs="宋体"/>
                <w:sz w:val="24"/>
              </w:rPr>
              <w:t>境内未发现相关违法犯罪活动，按月准时报送统计表 。</w:t>
            </w:r>
          </w:p>
        </w:tc>
      </w:tr>
      <w:tr w14:paraId="2A85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19F2D32">
            <w:pPr>
              <w:widowControl/>
              <w:jc w:val="center"/>
              <w:rPr>
                <w:rFonts w:ascii="宋体" w:hAnsi="宋体" w:cs="宋体"/>
                <w:kern w:val="0"/>
                <w:sz w:val="24"/>
              </w:rPr>
            </w:pPr>
          </w:p>
        </w:tc>
        <w:tc>
          <w:tcPr>
            <w:tcW w:w="3818" w:type="dxa"/>
            <w:vAlign w:val="center"/>
          </w:tcPr>
          <w:p w14:paraId="6CBD6F20">
            <w:pPr>
              <w:widowControl/>
              <w:jc w:val="center"/>
              <w:rPr>
                <w:rFonts w:ascii="宋体" w:hAnsi="宋体" w:cs="宋体"/>
                <w:sz w:val="24"/>
              </w:rPr>
            </w:pPr>
            <w:r>
              <w:rPr>
                <w:rFonts w:hint="eastAsia" w:ascii="宋体" w:hAnsi="宋体" w:cs="宋体"/>
                <w:sz w:val="24"/>
              </w:rPr>
              <w:t>重要考试保障</w:t>
            </w:r>
          </w:p>
        </w:tc>
        <w:tc>
          <w:tcPr>
            <w:tcW w:w="6280" w:type="dxa"/>
            <w:vAlign w:val="center"/>
          </w:tcPr>
          <w:p w14:paraId="54EB07D6">
            <w:pPr>
              <w:widowControl/>
              <w:jc w:val="center"/>
              <w:rPr>
                <w:rFonts w:ascii="宋体" w:hAnsi="宋体" w:cs="宋体"/>
                <w:sz w:val="24"/>
              </w:rPr>
            </w:pPr>
            <w:r>
              <w:rPr>
                <w:rFonts w:hint="eastAsia" w:ascii="宋体" w:hAnsi="宋体" w:cs="宋体"/>
                <w:sz w:val="24"/>
              </w:rPr>
              <w:t>圆满完成高考、中考、国考等25项国家及省市级考试保障，实现零失误、零通报 。</w:t>
            </w:r>
          </w:p>
        </w:tc>
      </w:tr>
      <w:tr w14:paraId="233B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B5E1002">
            <w:pPr>
              <w:widowControl/>
              <w:jc w:val="center"/>
              <w:rPr>
                <w:rFonts w:ascii="宋体" w:hAnsi="宋体" w:cs="宋体"/>
                <w:kern w:val="0"/>
                <w:sz w:val="24"/>
              </w:rPr>
            </w:pPr>
          </w:p>
        </w:tc>
        <w:tc>
          <w:tcPr>
            <w:tcW w:w="3818" w:type="dxa"/>
            <w:vAlign w:val="center"/>
          </w:tcPr>
          <w:p w14:paraId="65D9D1A9">
            <w:pPr>
              <w:widowControl/>
              <w:jc w:val="center"/>
              <w:rPr>
                <w:rFonts w:ascii="宋体" w:hAnsi="宋体" w:cs="宋体"/>
                <w:sz w:val="24"/>
              </w:rPr>
            </w:pPr>
            <w:r>
              <w:rPr>
                <w:rFonts w:hint="eastAsia" w:ascii="宋体" w:hAnsi="宋体" w:cs="宋体"/>
                <w:sz w:val="24"/>
              </w:rPr>
              <w:t>重大活动、重大任务保障</w:t>
            </w:r>
          </w:p>
        </w:tc>
        <w:tc>
          <w:tcPr>
            <w:tcW w:w="6280" w:type="dxa"/>
            <w:vAlign w:val="center"/>
          </w:tcPr>
          <w:p w14:paraId="0D71144F">
            <w:pPr>
              <w:widowControl/>
              <w:jc w:val="center"/>
              <w:rPr>
                <w:rFonts w:ascii="宋体" w:hAnsi="宋体" w:cs="宋体"/>
                <w:sz w:val="24"/>
              </w:rPr>
            </w:pPr>
            <w:r>
              <w:rPr>
                <w:rFonts w:hint="eastAsia" w:ascii="宋体" w:hAnsi="宋体" w:cs="宋体"/>
                <w:sz w:val="24"/>
              </w:rPr>
              <w:t>完成元旦春节、全国两会、森林防灭火、低空经济测试、“苏超”赛事、第七届CRAC大会等重大保障，未发生无线电安全事件 。</w:t>
            </w:r>
          </w:p>
        </w:tc>
      </w:tr>
      <w:tr w14:paraId="7B84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3DD9068">
            <w:pPr>
              <w:widowControl/>
              <w:jc w:val="center"/>
              <w:rPr>
                <w:rFonts w:ascii="宋体" w:hAnsi="宋体" w:cs="宋体"/>
                <w:kern w:val="0"/>
                <w:sz w:val="24"/>
              </w:rPr>
            </w:pPr>
            <w:r>
              <w:rPr>
                <w:rFonts w:hint="eastAsia" w:ascii="宋体" w:hAnsi="宋体" w:cs="宋体"/>
                <w:sz w:val="24"/>
              </w:rPr>
              <w:t>技术设施维护</w:t>
            </w:r>
          </w:p>
        </w:tc>
        <w:tc>
          <w:tcPr>
            <w:tcW w:w="3818" w:type="dxa"/>
            <w:vAlign w:val="center"/>
          </w:tcPr>
          <w:p w14:paraId="65E209EB">
            <w:pPr>
              <w:widowControl/>
              <w:jc w:val="center"/>
              <w:rPr>
                <w:rFonts w:ascii="宋体" w:hAnsi="宋体" w:cs="宋体"/>
                <w:sz w:val="24"/>
              </w:rPr>
            </w:pPr>
            <w:r>
              <w:rPr>
                <w:rFonts w:hint="eastAsia" w:ascii="宋体" w:hAnsi="宋体" w:cs="宋体"/>
                <w:sz w:val="24"/>
              </w:rPr>
              <w:t>监测信息化平台</w:t>
            </w:r>
          </w:p>
        </w:tc>
        <w:tc>
          <w:tcPr>
            <w:tcW w:w="6280" w:type="dxa"/>
            <w:vAlign w:val="center"/>
          </w:tcPr>
          <w:p w14:paraId="49A91435">
            <w:pPr>
              <w:widowControl/>
              <w:jc w:val="center"/>
              <w:rPr>
                <w:rFonts w:ascii="宋体" w:hAnsi="宋体" w:cs="宋体"/>
                <w:sz w:val="24"/>
              </w:rPr>
            </w:pPr>
            <w:r>
              <w:rPr>
                <w:rFonts w:hint="eastAsia" w:ascii="宋体" w:hAnsi="宋体" w:cs="宋体"/>
                <w:sz w:val="24"/>
              </w:rPr>
              <w:t>一体化平台业务服务调用成功率（固定站实时在线率）达100% 。</w:t>
            </w:r>
          </w:p>
        </w:tc>
      </w:tr>
      <w:tr w14:paraId="1A49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FEE36DD">
            <w:pPr>
              <w:widowControl/>
              <w:jc w:val="center"/>
              <w:rPr>
                <w:rFonts w:ascii="宋体" w:hAnsi="宋体" w:cs="宋体"/>
                <w:kern w:val="0"/>
                <w:sz w:val="24"/>
              </w:rPr>
            </w:pPr>
          </w:p>
        </w:tc>
        <w:tc>
          <w:tcPr>
            <w:tcW w:w="3818" w:type="dxa"/>
            <w:vAlign w:val="center"/>
          </w:tcPr>
          <w:p w14:paraId="1D50A5F6">
            <w:pPr>
              <w:widowControl/>
              <w:jc w:val="center"/>
              <w:rPr>
                <w:rFonts w:ascii="宋体" w:hAnsi="宋体" w:cs="宋体"/>
                <w:sz w:val="24"/>
              </w:rPr>
            </w:pPr>
            <w:r>
              <w:rPr>
                <w:rFonts w:hint="eastAsia" w:ascii="宋体" w:hAnsi="宋体" w:cs="宋体"/>
                <w:sz w:val="24"/>
              </w:rPr>
              <w:t>监测设施维护</w:t>
            </w:r>
          </w:p>
        </w:tc>
        <w:tc>
          <w:tcPr>
            <w:tcW w:w="6280" w:type="dxa"/>
            <w:vAlign w:val="center"/>
          </w:tcPr>
          <w:p w14:paraId="2467764F">
            <w:pPr>
              <w:widowControl/>
              <w:jc w:val="center"/>
              <w:rPr>
                <w:rFonts w:ascii="宋体" w:hAnsi="宋体" w:cs="宋体"/>
                <w:sz w:val="24"/>
              </w:rPr>
            </w:pPr>
            <w:r>
              <w:rPr>
                <w:rFonts w:hint="eastAsia" w:ascii="宋体" w:hAnsi="宋体" w:cs="宋体"/>
                <w:sz w:val="24"/>
              </w:rPr>
              <w:t>全市监测设备完好率100%，固定站与移动站接入率100%；执行季度巡检，完成8起突发故障闭环处理 。</w:t>
            </w:r>
          </w:p>
        </w:tc>
      </w:tr>
      <w:tr w14:paraId="791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D954A15">
            <w:pPr>
              <w:widowControl/>
              <w:jc w:val="center"/>
              <w:rPr>
                <w:rFonts w:ascii="宋体" w:hAnsi="宋体" w:cs="宋体"/>
                <w:kern w:val="0"/>
                <w:sz w:val="24"/>
              </w:rPr>
            </w:pPr>
            <w:r>
              <w:rPr>
                <w:rFonts w:hint="eastAsia" w:ascii="宋体" w:hAnsi="宋体" w:cs="宋体"/>
                <w:sz w:val="24"/>
              </w:rPr>
              <w:t>监督检查</w:t>
            </w:r>
          </w:p>
        </w:tc>
        <w:tc>
          <w:tcPr>
            <w:tcW w:w="3818" w:type="dxa"/>
            <w:vAlign w:val="center"/>
          </w:tcPr>
          <w:p w14:paraId="34CE36DF">
            <w:pPr>
              <w:widowControl/>
              <w:jc w:val="center"/>
              <w:rPr>
                <w:rFonts w:ascii="宋体" w:hAnsi="宋体" w:cs="宋体"/>
                <w:sz w:val="24"/>
              </w:rPr>
            </w:pPr>
            <w:r>
              <w:rPr>
                <w:rFonts w:hint="eastAsia" w:ascii="宋体" w:hAnsi="宋体" w:cs="宋体"/>
                <w:sz w:val="24"/>
              </w:rPr>
              <w:t>无线电频率使用监督检查（技术指标检查部分）</w:t>
            </w:r>
          </w:p>
        </w:tc>
        <w:tc>
          <w:tcPr>
            <w:tcW w:w="6280" w:type="dxa"/>
            <w:vAlign w:val="center"/>
          </w:tcPr>
          <w:p w14:paraId="22F8084F">
            <w:pPr>
              <w:widowControl/>
              <w:jc w:val="center"/>
              <w:rPr>
                <w:rFonts w:ascii="宋体" w:hAnsi="宋体" w:cs="宋体"/>
                <w:sz w:val="24"/>
              </w:rPr>
            </w:pPr>
            <w:r>
              <w:rPr>
                <w:rFonts w:hint="eastAsia" w:ascii="宋体" w:hAnsi="宋体" w:cs="宋体"/>
                <w:sz w:val="24"/>
              </w:rPr>
              <w:t>执行部级发射设备监督检查，抽样产品26个（占全省78%）；完成27家重点企业频率使用检查 。</w:t>
            </w:r>
          </w:p>
        </w:tc>
      </w:tr>
      <w:tr w14:paraId="0CC0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38B3062">
            <w:pPr>
              <w:widowControl/>
              <w:jc w:val="center"/>
              <w:rPr>
                <w:rFonts w:ascii="宋体" w:hAnsi="宋体" w:cs="宋体"/>
                <w:kern w:val="0"/>
                <w:sz w:val="24"/>
              </w:rPr>
            </w:pPr>
          </w:p>
        </w:tc>
        <w:tc>
          <w:tcPr>
            <w:tcW w:w="3818" w:type="dxa"/>
            <w:vAlign w:val="center"/>
          </w:tcPr>
          <w:p w14:paraId="4E135FC5">
            <w:pPr>
              <w:widowControl/>
              <w:jc w:val="center"/>
              <w:rPr>
                <w:rFonts w:ascii="宋体" w:hAnsi="宋体" w:cs="宋体"/>
                <w:sz w:val="24"/>
              </w:rPr>
            </w:pPr>
            <w:r>
              <w:rPr>
                <w:rFonts w:hint="eastAsia" w:ascii="宋体" w:hAnsi="宋体" w:cs="宋体"/>
                <w:sz w:val="24"/>
              </w:rPr>
              <w:t>在用无线电台（站）监督检查（技术指标检查部分）</w:t>
            </w:r>
          </w:p>
        </w:tc>
        <w:tc>
          <w:tcPr>
            <w:tcW w:w="6280" w:type="dxa"/>
            <w:vAlign w:val="center"/>
          </w:tcPr>
          <w:p w14:paraId="5E0815E0">
            <w:pPr>
              <w:widowControl/>
              <w:jc w:val="center"/>
              <w:rPr>
                <w:rFonts w:ascii="宋体" w:hAnsi="宋体" w:cs="宋体"/>
                <w:sz w:val="24"/>
              </w:rPr>
            </w:pPr>
            <w:r>
              <w:rPr>
                <w:rFonts w:hint="eastAsia" w:ascii="宋体" w:hAnsi="宋体" w:cs="宋体"/>
                <w:sz w:val="24"/>
              </w:rPr>
              <w:t>累计开展现场检查81次；完成工信部15瓦以上业余电台专项检查（占全省75%）及27家重点企业台站检查 。</w:t>
            </w:r>
          </w:p>
        </w:tc>
      </w:tr>
      <w:tr w14:paraId="638E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E11940F">
            <w:pPr>
              <w:widowControl/>
              <w:jc w:val="center"/>
              <w:rPr>
                <w:rFonts w:ascii="宋体" w:hAnsi="宋体" w:cs="宋体"/>
                <w:kern w:val="0"/>
                <w:sz w:val="24"/>
              </w:rPr>
            </w:pPr>
          </w:p>
        </w:tc>
        <w:tc>
          <w:tcPr>
            <w:tcW w:w="3818" w:type="dxa"/>
            <w:vAlign w:val="center"/>
          </w:tcPr>
          <w:p w14:paraId="54F5EE81">
            <w:pPr>
              <w:widowControl/>
              <w:jc w:val="center"/>
              <w:rPr>
                <w:rFonts w:ascii="宋体" w:hAnsi="宋体" w:cs="宋体"/>
                <w:sz w:val="24"/>
              </w:rPr>
            </w:pPr>
            <w:r>
              <w:rPr>
                <w:rFonts w:hint="eastAsia" w:ascii="宋体" w:hAnsi="宋体" w:cs="宋体"/>
                <w:sz w:val="24"/>
              </w:rPr>
              <w:t>无线电发射设备管理</w:t>
            </w:r>
          </w:p>
        </w:tc>
        <w:tc>
          <w:tcPr>
            <w:tcW w:w="6280" w:type="dxa"/>
            <w:vAlign w:val="center"/>
          </w:tcPr>
          <w:p w14:paraId="670F50CF">
            <w:pPr>
              <w:widowControl/>
              <w:jc w:val="center"/>
              <w:rPr>
                <w:rFonts w:ascii="宋体" w:hAnsi="宋体" w:cs="宋体"/>
                <w:sz w:val="24"/>
              </w:rPr>
            </w:pPr>
            <w:r>
              <w:rPr>
                <w:rFonts w:hint="eastAsia" w:ascii="宋体" w:hAnsi="宋体" w:cs="宋体"/>
                <w:sz w:val="24"/>
              </w:rPr>
              <w:t>按季度完成线上线下销售巡检；开展“万能遥控器”及考场屏蔽设备专项治理，查处销售未获核准设备案2起 。</w:t>
            </w:r>
          </w:p>
        </w:tc>
      </w:tr>
      <w:tr w14:paraId="1C66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6E33DF9E">
            <w:pPr>
              <w:widowControl/>
              <w:jc w:val="center"/>
              <w:rPr>
                <w:rFonts w:ascii="宋体" w:hAnsi="宋体" w:cs="宋体"/>
                <w:kern w:val="0"/>
                <w:sz w:val="24"/>
              </w:rPr>
            </w:pPr>
            <w:r>
              <w:rPr>
                <w:rFonts w:hint="eastAsia" w:ascii="宋体" w:hAnsi="宋体" w:cs="宋体"/>
                <w:sz w:val="24"/>
              </w:rPr>
              <w:t>无线电监测和干扰查处</w:t>
            </w:r>
          </w:p>
        </w:tc>
        <w:tc>
          <w:tcPr>
            <w:tcW w:w="3818" w:type="dxa"/>
            <w:vAlign w:val="center"/>
          </w:tcPr>
          <w:p w14:paraId="45BF7CB3">
            <w:pPr>
              <w:widowControl/>
              <w:jc w:val="center"/>
              <w:rPr>
                <w:rFonts w:ascii="宋体" w:hAnsi="宋体" w:cs="宋体"/>
                <w:sz w:val="24"/>
              </w:rPr>
            </w:pPr>
            <w:r>
              <w:rPr>
                <w:rFonts w:hint="eastAsia" w:ascii="宋体" w:hAnsi="宋体" w:cs="宋体"/>
                <w:sz w:val="24"/>
              </w:rPr>
              <w:t>月报报送</w:t>
            </w:r>
          </w:p>
        </w:tc>
        <w:tc>
          <w:tcPr>
            <w:tcW w:w="6280" w:type="dxa"/>
            <w:vAlign w:val="center"/>
          </w:tcPr>
          <w:p w14:paraId="6E54E3EB">
            <w:pPr>
              <w:widowControl/>
              <w:jc w:val="center"/>
              <w:rPr>
                <w:rFonts w:ascii="宋体" w:hAnsi="宋体" w:cs="宋体"/>
                <w:sz w:val="24"/>
              </w:rPr>
            </w:pPr>
            <w:r>
              <w:rPr>
                <w:rFonts w:hint="eastAsia" w:ascii="宋体" w:hAnsi="宋体" w:cs="宋体"/>
                <w:sz w:val="24"/>
              </w:rPr>
              <w:t>各类干扰查处、执法统计及黑广播/伪基站情况均实现按月准时报送，无错漏或逾期 。</w:t>
            </w:r>
          </w:p>
        </w:tc>
      </w:tr>
      <w:tr w14:paraId="2EA0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AA5812E">
            <w:pPr>
              <w:widowControl/>
              <w:jc w:val="center"/>
              <w:rPr>
                <w:rFonts w:ascii="宋体" w:hAnsi="宋体" w:cs="宋体"/>
                <w:kern w:val="0"/>
                <w:sz w:val="24"/>
              </w:rPr>
            </w:pPr>
          </w:p>
        </w:tc>
        <w:tc>
          <w:tcPr>
            <w:tcW w:w="3818" w:type="dxa"/>
            <w:vAlign w:val="center"/>
          </w:tcPr>
          <w:p w14:paraId="4FECDC18">
            <w:pPr>
              <w:widowControl/>
              <w:jc w:val="center"/>
              <w:rPr>
                <w:rFonts w:ascii="宋体" w:hAnsi="宋体" w:cs="宋体"/>
                <w:sz w:val="24"/>
              </w:rPr>
            </w:pPr>
            <w:r>
              <w:rPr>
                <w:rFonts w:hint="eastAsia" w:ascii="宋体" w:hAnsi="宋体" w:cs="宋体"/>
                <w:sz w:val="24"/>
              </w:rPr>
              <w:t>干扰查处</w:t>
            </w:r>
          </w:p>
        </w:tc>
        <w:tc>
          <w:tcPr>
            <w:tcW w:w="6280" w:type="dxa"/>
            <w:vAlign w:val="center"/>
          </w:tcPr>
          <w:p w14:paraId="5A2B3072">
            <w:pPr>
              <w:widowControl/>
              <w:jc w:val="center"/>
              <w:rPr>
                <w:rFonts w:ascii="宋体" w:hAnsi="宋体" w:cs="宋体"/>
                <w:sz w:val="24"/>
              </w:rPr>
            </w:pPr>
            <w:r>
              <w:rPr>
                <w:rFonts w:hint="eastAsia" w:ascii="宋体" w:hAnsi="宋体" w:cs="宋体"/>
                <w:sz w:val="24"/>
              </w:rPr>
              <w:t>累计受理并办结25起投诉，查处率100%；涵盖公众通信、高铁（7起）、气象雷达及广电卫星等领域 。</w:t>
            </w:r>
          </w:p>
        </w:tc>
      </w:tr>
      <w:tr w14:paraId="1B7A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12378D7">
            <w:pPr>
              <w:widowControl/>
              <w:jc w:val="center"/>
              <w:rPr>
                <w:rFonts w:ascii="宋体" w:hAnsi="宋体" w:cs="宋体"/>
                <w:kern w:val="0"/>
                <w:sz w:val="24"/>
              </w:rPr>
            </w:pPr>
          </w:p>
        </w:tc>
        <w:tc>
          <w:tcPr>
            <w:tcW w:w="3818" w:type="dxa"/>
            <w:vAlign w:val="center"/>
          </w:tcPr>
          <w:p w14:paraId="3458698D">
            <w:pPr>
              <w:widowControl/>
              <w:jc w:val="center"/>
              <w:rPr>
                <w:rFonts w:ascii="宋体" w:hAnsi="宋体" w:cs="宋体"/>
                <w:sz w:val="24"/>
              </w:rPr>
            </w:pPr>
            <w:r>
              <w:rPr>
                <w:rFonts w:hint="eastAsia" w:ascii="宋体" w:hAnsi="宋体" w:cs="宋体"/>
                <w:sz w:val="24"/>
              </w:rPr>
              <w:t>日常监测</w:t>
            </w:r>
          </w:p>
        </w:tc>
        <w:tc>
          <w:tcPr>
            <w:tcW w:w="6280" w:type="dxa"/>
            <w:vAlign w:val="center"/>
          </w:tcPr>
          <w:p w14:paraId="6F80BB0A">
            <w:pPr>
              <w:widowControl/>
              <w:jc w:val="center"/>
              <w:rPr>
                <w:rFonts w:ascii="宋体" w:hAnsi="宋体" w:cs="宋体"/>
                <w:sz w:val="24"/>
              </w:rPr>
            </w:pPr>
            <w:r>
              <w:rPr>
                <w:rFonts w:hint="eastAsia" w:ascii="宋体" w:hAnsi="宋体" w:cs="宋体"/>
                <w:sz w:val="24"/>
              </w:rPr>
              <w:t>通过网络基础设施运维方案及巡检确保监测数据实时上传，系统运行稳定 。</w:t>
            </w:r>
          </w:p>
        </w:tc>
      </w:tr>
      <w:tr w14:paraId="59E5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F343294">
            <w:pPr>
              <w:widowControl/>
              <w:jc w:val="center"/>
              <w:rPr>
                <w:rFonts w:ascii="宋体" w:hAnsi="宋体" w:cs="宋体"/>
                <w:kern w:val="0"/>
                <w:sz w:val="24"/>
              </w:rPr>
            </w:pPr>
            <w:r>
              <w:rPr>
                <w:rFonts w:hint="eastAsia" w:ascii="宋体" w:hAnsi="宋体" w:cs="宋体"/>
                <w:sz w:val="24"/>
              </w:rPr>
              <w:t>无线电频率、 台站管理</w:t>
            </w:r>
          </w:p>
        </w:tc>
        <w:tc>
          <w:tcPr>
            <w:tcW w:w="3818" w:type="dxa"/>
            <w:vAlign w:val="center"/>
          </w:tcPr>
          <w:p w14:paraId="1A2D379F">
            <w:pPr>
              <w:widowControl/>
              <w:jc w:val="center"/>
              <w:rPr>
                <w:rFonts w:ascii="宋体" w:hAnsi="宋体" w:cs="宋体"/>
                <w:sz w:val="24"/>
              </w:rPr>
            </w:pPr>
            <w:r>
              <w:rPr>
                <w:rFonts w:hint="eastAsia" w:ascii="宋体" w:hAnsi="宋体" w:cs="宋体"/>
                <w:sz w:val="24"/>
              </w:rPr>
              <w:t>频率许可事前监测</w:t>
            </w:r>
          </w:p>
        </w:tc>
        <w:tc>
          <w:tcPr>
            <w:tcW w:w="6280" w:type="dxa"/>
            <w:vAlign w:val="center"/>
          </w:tcPr>
          <w:p w14:paraId="5D1534D8">
            <w:pPr>
              <w:widowControl/>
              <w:jc w:val="center"/>
              <w:rPr>
                <w:rFonts w:ascii="宋体" w:hAnsi="宋体" w:cs="宋体"/>
                <w:sz w:val="24"/>
              </w:rPr>
            </w:pPr>
            <w:r>
              <w:rPr>
                <w:rFonts w:hint="eastAsia" w:ascii="宋体" w:hAnsi="宋体" w:cs="宋体"/>
                <w:sz w:val="24"/>
              </w:rPr>
              <w:t>为天齐锂业等30家重点企事业单位精准指配频率 ；为智慧尘埃等企业完成8项实效发射试验用频报备 。</w:t>
            </w:r>
          </w:p>
        </w:tc>
      </w:tr>
      <w:tr w14:paraId="7ED6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422B5DB">
            <w:pPr>
              <w:widowControl/>
              <w:jc w:val="center"/>
              <w:rPr>
                <w:rFonts w:ascii="宋体" w:hAnsi="宋体" w:cs="宋体"/>
                <w:kern w:val="0"/>
                <w:sz w:val="24"/>
              </w:rPr>
            </w:pPr>
          </w:p>
        </w:tc>
        <w:tc>
          <w:tcPr>
            <w:tcW w:w="3818" w:type="dxa"/>
            <w:vAlign w:val="center"/>
          </w:tcPr>
          <w:p w14:paraId="1257EA3D">
            <w:pPr>
              <w:widowControl/>
              <w:jc w:val="center"/>
              <w:rPr>
                <w:rFonts w:ascii="宋体" w:hAnsi="宋体" w:cs="宋体"/>
                <w:sz w:val="24"/>
              </w:rPr>
            </w:pPr>
            <w:r>
              <w:rPr>
                <w:rFonts w:hint="eastAsia" w:ascii="宋体" w:hAnsi="宋体" w:cs="宋体"/>
                <w:sz w:val="24"/>
              </w:rPr>
              <w:t>台站许可事前检测</w:t>
            </w:r>
          </w:p>
        </w:tc>
        <w:tc>
          <w:tcPr>
            <w:tcW w:w="6280" w:type="dxa"/>
            <w:vAlign w:val="center"/>
          </w:tcPr>
          <w:p w14:paraId="6A518469">
            <w:pPr>
              <w:widowControl/>
              <w:jc w:val="center"/>
              <w:rPr>
                <w:rFonts w:ascii="宋体" w:hAnsi="宋体" w:cs="宋体"/>
                <w:sz w:val="24"/>
              </w:rPr>
            </w:pPr>
            <w:r>
              <w:rPr>
                <w:rFonts w:hint="eastAsia" w:ascii="宋体" w:hAnsi="宋体" w:cs="宋体"/>
                <w:sz w:val="24"/>
              </w:rPr>
              <w:t>完成67个地面无线电台站的属性数据核查与质量评价 ；全年核发无线电台识别码296个 。</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14:paraId="7E7E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73E06B88">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1A90A9E3">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2AD5988A">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5152337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C13ABAD">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7B7952D8">
            <w:pPr>
              <w:spacing w:line="360" w:lineRule="auto"/>
              <w:jc w:val="center"/>
              <w:rPr>
                <w:rFonts w:ascii="宋体" w:hAnsi="宋体" w:cs="宋体"/>
                <w:kern w:val="0"/>
                <w:sz w:val="24"/>
              </w:rPr>
            </w:pPr>
            <w:r>
              <w:rPr>
                <w:rFonts w:hint="eastAsia" w:ascii="宋体" w:hAnsi="宋体" w:cs="宋体"/>
                <w:sz w:val="24"/>
              </w:rPr>
              <w:t>2025年度工作计划</w:t>
            </w:r>
          </w:p>
        </w:tc>
        <w:tc>
          <w:tcPr>
            <w:tcW w:w="1787" w:type="dxa"/>
            <w:vAlign w:val="center"/>
          </w:tcPr>
          <w:p w14:paraId="5CD2566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9FBCBB8">
            <w:pPr>
              <w:spacing w:line="360" w:lineRule="auto"/>
              <w:rPr>
                <w:rFonts w:ascii="宋体" w:hAnsi="宋体" w:cs="宋体"/>
                <w:kern w:val="0"/>
                <w:sz w:val="22"/>
              </w:rPr>
            </w:pPr>
          </w:p>
        </w:tc>
      </w:tr>
      <w:tr w14:paraId="5C92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0E0CF3">
            <w:pPr>
              <w:spacing w:line="360" w:lineRule="auto"/>
              <w:jc w:val="center"/>
              <w:rPr>
                <w:rFonts w:ascii="宋体" w:hAnsi="宋体" w:cs="宋体"/>
                <w:kern w:val="0"/>
                <w:sz w:val="24"/>
              </w:rPr>
            </w:pPr>
          </w:p>
        </w:tc>
        <w:tc>
          <w:tcPr>
            <w:tcW w:w="2051" w:type="dxa"/>
            <w:vMerge w:val="continue"/>
            <w:vAlign w:val="center"/>
          </w:tcPr>
          <w:p w14:paraId="3F2BB0B0">
            <w:pPr>
              <w:spacing w:line="360" w:lineRule="auto"/>
              <w:jc w:val="center"/>
              <w:rPr>
                <w:rFonts w:ascii="宋体" w:hAnsi="宋体" w:cs="宋体"/>
                <w:kern w:val="0"/>
                <w:sz w:val="24"/>
              </w:rPr>
            </w:pPr>
          </w:p>
        </w:tc>
        <w:tc>
          <w:tcPr>
            <w:tcW w:w="2061" w:type="dxa"/>
            <w:vAlign w:val="center"/>
          </w:tcPr>
          <w:p w14:paraId="07B7F4BD">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06D948E8">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108B31D">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CD9A9C4">
            <w:pPr>
              <w:spacing w:line="360" w:lineRule="auto"/>
              <w:jc w:val="center"/>
              <w:rPr>
                <w:rFonts w:ascii="宋体" w:hAnsi="宋体" w:cs="宋体"/>
                <w:kern w:val="0"/>
                <w:sz w:val="24"/>
              </w:rPr>
            </w:pPr>
            <w:r>
              <w:rPr>
                <w:rFonts w:hint="eastAsia" w:ascii="宋体" w:hAnsi="宋体" w:cs="宋体"/>
                <w:sz w:val="24"/>
              </w:rPr>
              <w:t>2025年度工作计划</w:t>
            </w:r>
          </w:p>
        </w:tc>
        <w:tc>
          <w:tcPr>
            <w:tcW w:w="1787" w:type="dxa"/>
            <w:vAlign w:val="center"/>
          </w:tcPr>
          <w:p w14:paraId="359DDF2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B4AA72">
            <w:pPr>
              <w:spacing w:line="360" w:lineRule="auto"/>
              <w:rPr>
                <w:rFonts w:ascii="宋体" w:hAnsi="宋体" w:cs="宋体"/>
                <w:kern w:val="0"/>
                <w:sz w:val="22"/>
              </w:rPr>
            </w:pPr>
          </w:p>
        </w:tc>
      </w:tr>
      <w:tr w14:paraId="6DBE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7EFB055">
            <w:pPr>
              <w:spacing w:line="360" w:lineRule="auto"/>
              <w:jc w:val="center"/>
              <w:rPr>
                <w:rFonts w:ascii="宋体" w:hAnsi="宋体" w:cs="宋体"/>
                <w:kern w:val="0"/>
                <w:sz w:val="24"/>
              </w:rPr>
            </w:pPr>
          </w:p>
        </w:tc>
        <w:tc>
          <w:tcPr>
            <w:tcW w:w="2051" w:type="dxa"/>
            <w:vMerge w:val="continue"/>
            <w:vAlign w:val="center"/>
          </w:tcPr>
          <w:p w14:paraId="7874D80A">
            <w:pPr>
              <w:spacing w:line="360" w:lineRule="auto"/>
              <w:jc w:val="center"/>
              <w:rPr>
                <w:rFonts w:ascii="宋体" w:hAnsi="宋体" w:cs="宋体"/>
                <w:kern w:val="0"/>
                <w:sz w:val="24"/>
              </w:rPr>
            </w:pPr>
          </w:p>
        </w:tc>
        <w:tc>
          <w:tcPr>
            <w:tcW w:w="2061" w:type="dxa"/>
            <w:vAlign w:val="center"/>
          </w:tcPr>
          <w:p w14:paraId="3454A1E0">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4EF04F5E">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4C982692">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2A1A6762">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2CABBE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C936C44">
            <w:pPr>
              <w:spacing w:line="360" w:lineRule="auto"/>
              <w:rPr>
                <w:rFonts w:ascii="宋体" w:hAnsi="宋体" w:cs="宋体"/>
                <w:kern w:val="0"/>
                <w:sz w:val="22"/>
              </w:rPr>
            </w:pPr>
          </w:p>
        </w:tc>
      </w:tr>
      <w:tr w14:paraId="4E1F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CFF4251">
            <w:pPr>
              <w:spacing w:line="360" w:lineRule="auto"/>
              <w:jc w:val="center"/>
              <w:rPr>
                <w:rFonts w:ascii="宋体" w:hAnsi="宋体" w:cs="宋体"/>
                <w:kern w:val="0"/>
                <w:sz w:val="24"/>
              </w:rPr>
            </w:pPr>
          </w:p>
        </w:tc>
        <w:tc>
          <w:tcPr>
            <w:tcW w:w="2051" w:type="dxa"/>
            <w:vMerge w:val="continue"/>
            <w:vAlign w:val="center"/>
          </w:tcPr>
          <w:p w14:paraId="1CE537FF">
            <w:pPr>
              <w:spacing w:line="360" w:lineRule="auto"/>
              <w:jc w:val="center"/>
              <w:rPr>
                <w:rFonts w:ascii="宋体" w:hAnsi="宋体" w:cs="宋体"/>
                <w:kern w:val="0"/>
                <w:sz w:val="24"/>
              </w:rPr>
            </w:pPr>
          </w:p>
        </w:tc>
        <w:tc>
          <w:tcPr>
            <w:tcW w:w="2061" w:type="dxa"/>
            <w:vAlign w:val="center"/>
          </w:tcPr>
          <w:p w14:paraId="34E2480C">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539CB550">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258B096B">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05E4EBCF">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5B52C5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9460D48">
            <w:pPr>
              <w:spacing w:line="360" w:lineRule="auto"/>
              <w:rPr>
                <w:rFonts w:ascii="宋体" w:hAnsi="宋体" w:cs="宋体"/>
                <w:kern w:val="0"/>
                <w:sz w:val="22"/>
              </w:rPr>
            </w:pPr>
          </w:p>
        </w:tc>
      </w:tr>
      <w:tr w14:paraId="718C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E36D15">
            <w:pPr>
              <w:spacing w:line="360" w:lineRule="auto"/>
              <w:jc w:val="center"/>
              <w:rPr>
                <w:rFonts w:ascii="宋体" w:hAnsi="宋体" w:cs="宋体"/>
                <w:kern w:val="0"/>
                <w:sz w:val="24"/>
              </w:rPr>
            </w:pPr>
          </w:p>
        </w:tc>
        <w:tc>
          <w:tcPr>
            <w:tcW w:w="2051" w:type="dxa"/>
            <w:vMerge w:val="continue"/>
            <w:vAlign w:val="center"/>
          </w:tcPr>
          <w:p w14:paraId="682AF2FC">
            <w:pPr>
              <w:spacing w:line="360" w:lineRule="auto"/>
              <w:jc w:val="center"/>
              <w:rPr>
                <w:rFonts w:ascii="宋体" w:hAnsi="宋体" w:cs="宋体"/>
                <w:kern w:val="0"/>
                <w:sz w:val="24"/>
              </w:rPr>
            </w:pPr>
          </w:p>
        </w:tc>
        <w:tc>
          <w:tcPr>
            <w:tcW w:w="2061" w:type="dxa"/>
            <w:vAlign w:val="center"/>
          </w:tcPr>
          <w:p w14:paraId="353F8800">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3EFD7F85">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1BA18BC1">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6BBBD732">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4694C9E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B42646A">
            <w:pPr>
              <w:spacing w:line="360" w:lineRule="auto"/>
              <w:rPr>
                <w:rFonts w:ascii="宋体" w:hAnsi="宋体" w:cs="宋体"/>
                <w:kern w:val="0"/>
                <w:sz w:val="22"/>
              </w:rPr>
            </w:pPr>
          </w:p>
        </w:tc>
      </w:tr>
      <w:tr w14:paraId="1EB5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76BDEDD">
            <w:pPr>
              <w:spacing w:line="360" w:lineRule="auto"/>
              <w:jc w:val="center"/>
              <w:rPr>
                <w:rFonts w:ascii="宋体" w:hAnsi="宋体" w:cs="宋体"/>
                <w:kern w:val="0"/>
                <w:sz w:val="24"/>
              </w:rPr>
            </w:pPr>
          </w:p>
        </w:tc>
        <w:tc>
          <w:tcPr>
            <w:tcW w:w="2051" w:type="dxa"/>
            <w:vMerge w:val="continue"/>
            <w:vAlign w:val="center"/>
          </w:tcPr>
          <w:p w14:paraId="13DD229E">
            <w:pPr>
              <w:spacing w:line="360" w:lineRule="auto"/>
              <w:jc w:val="center"/>
              <w:rPr>
                <w:rFonts w:ascii="宋体" w:hAnsi="宋体" w:cs="宋体"/>
                <w:kern w:val="0"/>
                <w:sz w:val="24"/>
              </w:rPr>
            </w:pPr>
          </w:p>
        </w:tc>
        <w:tc>
          <w:tcPr>
            <w:tcW w:w="2061" w:type="dxa"/>
            <w:vAlign w:val="center"/>
          </w:tcPr>
          <w:p w14:paraId="7F338499">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256E90B9">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4C82BCFB">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6FA0C448">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548C508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736D742">
            <w:pPr>
              <w:spacing w:line="360" w:lineRule="auto"/>
              <w:rPr>
                <w:rFonts w:ascii="宋体" w:hAnsi="宋体" w:cs="宋体"/>
                <w:kern w:val="0"/>
                <w:sz w:val="22"/>
              </w:rPr>
            </w:pPr>
          </w:p>
        </w:tc>
      </w:tr>
      <w:tr w14:paraId="4D37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0E9C110">
            <w:pPr>
              <w:spacing w:line="360" w:lineRule="auto"/>
              <w:jc w:val="center"/>
              <w:rPr>
                <w:rFonts w:ascii="宋体" w:hAnsi="宋体" w:cs="宋体"/>
                <w:kern w:val="0"/>
                <w:sz w:val="24"/>
              </w:rPr>
            </w:pPr>
          </w:p>
        </w:tc>
        <w:tc>
          <w:tcPr>
            <w:tcW w:w="2051" w:type="dxa"/>
            <w:vMerge w:val="restart"/>
            <w:vAlign w:val="center"/>
          </w:tcPr>
          <w:p w14:paraId="70216251">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4CFFFE83">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495A8B9B">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7274597F">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32B224B0">
            <w:pPr>
              <w:spacing w:line="360" w:lineRule="auto"/>
              <w:jc w:val="center"/>
              <w:rPr>
                <w:rFonts w:ascii="宋体" w:hAnsi="宋体" w:cs="宋体"/>
                <w:kern w:val="0"/>
                <w:sz w:val="24"/>
              </w:rPr>
            </w:pPr>
            <w:r>
              <w:rPr>
                <w:rFonts w:hint="eastAsia" w:ascii="宋体" w:hAnsi="宋体" w:cs="宋体"/>
                <w:sz w:val="24"/>
              </w:rPr>
              <w:t>预算公开表、决算公开表</w:t>
            </w:r>
          </w:p>
        </w:tc>
        <w:tc>
          <w:tcPr>
            <w:tcW w:w="1787" w:type="dxa"/>
            <w:vAlign w:val="center"/>
          </w:tcPr>
          <w:p w14:paraId="16657AB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42E64FB">
            <w:pPr>
              <w:spacing w:line="360" w:lineRule="auto"/>
              <w:rPr>
                <w:rFonts w:ascii="宋体" w:hAnsi="宋体" w:cs="宋体"/>
                <w:kern w:val="0"/>
                <w:sz w:val="22"/>
              </w:rPr>
            </w:pPr>
          </w:p>
        </w:tc>
      </w:tr>
      <w:tr w14:paraId="3ECF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785838E">
            <w:pPr>
              <w:spacing w:line="360" w:lineRule="auto"/>
              <w:jc w:val="center"/>
              <w:rPr>
                <w:rFonts w:ascii="宋体" w:hAnsi="宋体" w:cs="宋体"/>
                <w:kern w:val="0"/>
                <w:sz w:val="24"/>
              </w:rPr>
            </w:pPr>
          </w:p>
        </w:tc>
        <w:tc>
          <w:tcPr>
            <w:tcW w:w="2051" w:type="dxa"/>
            <w:vMerge w:val="continue"/>
            <w:vAlign w:val="center"/>
          </w:tcPr>
          <w:p w14:paraId="2D7A4AE9">
            <w:pPr>
              <w:spacing w:line="360" w:lineRule="auto"/>
              <w:jc w:val="center"/>
              <w:rPr>
                <w:rFonts w:ascii="宋体" w:hAnsi="宋体" w:cs="宋体"/>
                <w:kern w:val="0"/>
                <w:sz w:val="24"/>
              </w:rPr>
            </w:pPr>
          </w:p>
        </w:tc>
        <w:tc>
          <w:tcPr>
            <w:tcW w:w="2061" w:type="dxa"/>
            <w:vAlign w:val="center"/>
          </w:tcPr>
          <w:p w14:paraId="0F3135EB">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14278753">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1566422A">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A4A2005">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0B0C0A3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BBB2455">
            <w:pPr>
              <w:spacing w:line="360" w:lineRule="auto"/>
              <w:rPr>
                <w:rFonts w:ascii="宋体" w:hAnsi="宋体" w:cs="宋体"/>
                <w:kern w:val="0"/>
                <w:sz w:val="22"/>
              </w:rPr>
            </w:pPr>
          </w:p>
        </w:tc>
      </w:tr>
      <w:tr w14:paraId="459B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76FCD4">
            <w:pPr>
              <w:spacing w:line="360" w:lineRule="auto"/>
              <w:jc w:val="center"/>
              <w:rPr>
                <w:rFonts w:ascii="宋体" w:hAnsi="宋体" w:cs="宋体"/>
                <w:kern w:val="0"/>
                <w:sz w:val="24"/>
              </w:rPr>
            </w:pPr>
          </w:p>
        </w:tc>
        <w:tc>
          <w:tcPr>
            <w:tcW w:w="2051" w:type="dxa"/>
            <w:vMerge w:val="continue"/>
            <w:vAlign w:val="center"/>
          </w:tcPr>
          <w:p w14:paraId="118D263D">
            <w:pPr>
              <w:spacing w:line="360" w:lineRule="auto"/>
              <w:jc w:val="center"/>
              <w:rPr>
                <w:rFonts w:ascii="宋体" w:hAnsi="宋体" w:cs="宋体"/>
                <w:kern w:val="0"/>
                <w:sz w:val="24"/>
              </w:rPr>
            </w:pPr>
          </w:p>
        </w:tc>
        <w:tc>
          <w:tcPr>
            <w:tcW w:w="2061" w:type="dxa"/>
            <w:vAlign w:val="center"/>
          </w:tcPr>
          <w:p w14:paraId="265F8549">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2F289E59">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45FB3E2C">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491B03F0">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1DABE42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C0D7BAE">
            <w:pPr>
              <w:spacing w:line="360" w:lineRule="auto"/>
              <w:rPr>
                <w:rFonts w:ascii="宋体" w:hAnsi="宋体" w:cs="宋体"/>
                <w:kern w:val="0"/>
                <w:sz w:val="22"/>
              </w:rPr>
            </w:pPr>
          </w:p>
        </w:tc>
      </w:tr>
      <w:tr w14:paraId="6C0E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D21C02">
            <w:pPr>
              <w:spacing w:line="360" w:lineRule="auto"/>
              <w:jc w:val="center"/>
              <w:rPr>
                <w:rFonts w:ascii="宋体" w:hAnsi="宋体" w:cs="宋体"/>
                <w:kern w:val="0"/>
                <w:sz w:val="24"/>
              </w:rPr>
            </w:pPr>
          </w:p>
        </w:tc>
        <w:tc>
          <w:tcPr>
            <w:tcW w:w="2051" w:type="dxa"/>
            <w:vMerge w:val="continue"/>
            <w:vAlign w:val="center"/>
          </w:tcPr>
          <w:p w14:paraId="687FFEDB">
            <w:pPr>
              <w:spacing w:line="360" w:lineRule="auto"/>
              <w:jc w:val="center"/>
              <w:rPr>
                <w:rFonts w:ascii="宋体" w:hAnsi="宋体" w:cs="宋体"/>
                <w:kern w:val="0"/>
                <w:sz w:val="24"/>
              </w:rPr>
            </w:pPr>
          </w:p>
        </w:tc>
        <w:tc>
          <w:tcPr>
            <w:tcW w:w="2061" w:type="dxa"/>
            <w:vAlign w:val="center"/>
          </w:tcPr>
          <w:p w14:paraId="62C48661">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57DA3E3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A2615F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B8F0BFF">
            <w:pPr>
              <w:spacing w:line="360" w:lineRule="auto"/>
              <w:jc w:val="center"/>
              <w:rPr>
                <w:rFonts w:ascii="宋体" w:hAnsi="宋体" w:cs="宋体"/>
                <w:kern w:val="0"/>
                <w:sz w:val="24"/>
              </w:rPr>
            </w:pPr>
            <w:r>
              <w:rPr>
                <w:rFonts w:hint="eastAsia" w:ascii="宋体" w:hAnsi="宋体" w:cs="宋体"/>
                <w:sz w:val="24"/>
              </w:rPr>
              <w:t>2025年预算</w:t>
            </w:r>
          </w:p>
        </w:tc>
        <w:tc>
          <w:tcPr>
            <w:tcW w:w="1787" w:type="dxa"/>
            <w:vAlign w:val="center"/>
          </w:tcPr>
          <w:p w14:paraId="1BBBEDFB">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D09ADA9">
            <w:pPr>
              <w:spacing w:line="360" w:lineRule="auto"/>
              <w:rPr>
                <w:rFonts w:ascii="宋体" w:hAnsi="宋体" w:cs="宋体"/>
                <w:kern w:val="0"/>
                <w:sz w:val="22"/>
              </w:rPr>
            </w:pPr>
          </w:p>
        </w:tc>
      </w:tr>
      <w:tr w14:paraId="0BBC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D71C08">
            <w:pPr>
              <w:spacing w:line="360" w:lineRule="auto"/>
              <w:jc w:val="center"/>
              <w:rPr>
                <w:rFonts w:ascii="宋体" w:hAnsi="宋体" w:cs="宋体"/>
                <w:kern w:val="0"/>
                <w:sz w:val="24"/>
              </w:rPr>
            </w:pPr>
          </w:p>
        </w:tc>
        <w:tc>
          <w:tcPr>
            <w:tcW w:w="2051" w:type="dxa"/>
            <w:vMerge w:val="continue"/>
            <w:vAlign w:val="center"/>
          </w:tcPr>
          <w:p w14:paraId="4F057DE6">
            <w:pPr>
              <w:spacing w:line="360" w:lineRule="auto"/>
              <w:jc w:val="center"/>
              <w:rPr>
                <w:rFonts w:ascii="宋体" w:hAnsi="宋体" w:cs="宋体"/>
                <w:kern w:val="0"/>
                <w:sz w:val="24"/>
              </w:rPr>
            </w:pPr>
          </w:p>
        </w:tc>
        <w:tc>
          <w:tcPr>
            <w:tcW w:w="2061" w:type="dxa"/>
            <w:vAlign w:val="center"/>
          </w:tcPr>
          <w:p w14:paraId="385E5718">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605132C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F6B7223">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07131AA">
            <w:pPr>
              <w:spacing w:line="360" w:lineRule="auto"/>
              <w:jc w:val="center"/>
              <w:rPr>
                <w:rFonts w:ascii="宋体" w:hAnsi="宋体" w:cs="宋体"/>
                <w:kern w:val="0"/>
                <w:sz w:val="24"/>
              </w:rPr>
            </w:pPr>
            <w:r>
              <w:rPr>
                <w:rFonts w:hint="eastAsia" w:ascii="宋体" w:hAnsi="宋体" w:cs="宋体"/>
                <w:sz w:val="24"/>
              </w:rPr>
              <w:t>单位财务管理制度</w:t>
            </w:r>
          </w:p>
        </w:tc>
        <w:tc>
          <w:tcPr>
            <w:tcW w:w="1787" w:type="dxa"/>
            <w:vAlign w:val="center"/>
          </w:tcPr>
          <w:p w14:paraId="5C229B3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36F0C35">
            <w:pPr>
              <w:spacing w:line="360" w:lineRule="auto"/>
              <w:rPr>
                <w:rFonts w:ascii="宋体" w:hAnsi="宋体" w:cs="宋体"/>
                <w:kern w:val="0"/>
                <w:sz w:val="22"/>
              </w:rPr>
            </w:pPr>
          </w:p>
        </w:tc>
      </w:tr>
      <w:tr w14:paraId="49E2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905762A">
            <w:pPr>
              <w:spacing w:line="360" w:lineRule="auto"/>
              <w:jc w:val="center"/>
              <w:rPr>
                <w:rFonts w:ascii="宋体" w:hAnsi="宋体" w:cs="宋体"/>
                <w:kern w:val="0"/>
                <w:sz w:val="24"/>
              </w:rPr>
            </w:pPr>
          </w:p>
        </w:tc>
        <w:tc>
          <w:tcPr>
            <w:tcW w:w="2051" w:type="dxa"/>
            <w:vMerge w:val="continue"/>
            <w:vAlign w:val="center"/>
          </w:tcPr>
          <w:p w14:paraId="32EA6268">
            <w:pPr>
              <w:spacing w:line="360" w:lineRule="auto"/>
              <w:jc w:val="center"/>
              <w:rPr>
                <w:rFonts w:ascii="宋体" w:hAnsi="宋体" w:cs="宋体"/>
                <w:kern w:val="0"/>
                <w:sz w:val="24"/>
              </w:rPr>
            </w:pPr>
          </w:p>
        </w:tc>
        <w:tc>
          <w:tcPr>
            <w:tcW w:w="2061" w:type="dxa"/>
            <w:vAlign w:val="center"/>
          </w:tcPr>
          <w:p w14:paraId="32661FE1">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19523C3F">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23355ABA">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4D492654">
            <w:pPr>
              <w:spacing w:line="360" w:lineRule="auto"/>
              <w:jc w:val="center"/>
              <w:rPr>
                <w:rFonts w:ascii="宋体" w:hAnsi="宋体" w:cs="宋体"/>
                <w:kern w:val="0"/>
                <w:sz w:val="24"/>
              </w:rPr>
            </w:pPr>
            <w:r>
              <w:rPr>
                <w:rFonts w:hint="eastAsia" w:ascii="宋体" w:hAnsi="宋体" w:cs="宋体"/>
                <w:sz w:val="24"/>
              </w:rPr>
              <w:t>2025年预算、2025年财务账</w:t>
            </w:r>
          </w:p>
        </w:tc>
        <w:tc>
          <w:tcPr>
            <w:tcW w:w="1787" w:type="dxa"/>
            <w:vAlign w:val="center"/>
          </w:tcPr>
          <w:p w14:paraId="10FE9E9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2597C0">
            <w:pPr>
              <w:spacing w:line="360" w:lineRule="auto"/>
              <w:rPr>
                <w:rFonts w:ascii="宋体" w:hAnsi="宋体" w:cs="宋体"/>
                <w:kern w:val="0"/>
                <w:sz w:val="22"/>
              </w:rPr>
            </w:pPr>
          </w:p>
        </w:tc>
      </w:tr>
      <w:tr w14:paraId="00C6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EA189C3">
            <w:pPr>
              <w:spacing w:line="360" w:lineRule="auto"/>
              <w:jc w:val="center"/>
              <w:rPr>
                <w:rFonts w:ascii="宋体" w:hAnsi="宋体" w:cs="宋体"/>
                <w:kern w:val="0"/>
                <w:sz w:val="24"/>
              </w:rPr>
            </w:pPr>
          </w:p>
        </w:tc>
        <w:tc>
          <w:tcPr>
            <w:tcW w:w="2051" w:type="dxa"/>
            <w:vMerge w:val="continue"/>
            <w:vAlign w:val="center"/>
          </w:tcPr>
          <w:p w14:paraId="40270FAD">
            <w:pPr>
              <w:spacing w:line="360" w:lineRule="auto"/>
              <w:jc w:val="center"/>
              <w:rPr>
                <w:rFonts w:ascii="宋体" w:hAnsi="宋体" w:cs="宋体"/>
                <w:kern w:val="0"/>
                <w:sz w:val="24"/>
              </w:rPr>
            </w:pPr>
          </w:p>
        </w:tc>
        <w:tc>
          <w:tcPr>
            <w:tcW w:w="2061" w:type="dxa"/>
            <w:vAlign w:val="center"/>
          </w:tcPr>
          <w:p w14:paraId="2EF5C554">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43A802C4">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002D8FC">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46410904">
            <w:pPr>
              <w:spacing w:line="360" w:lineRule="auto"/>
              <w:jc w:val="center"/>
              <w:rPr>
                <w:rFonts w:ascii="宋体" w:hAnsi="宋体" w:cs="宋体"/>
                <w:kern w:val="0"/>
                <w:sz w:val="24"/>
              </w:rPr>
            </w:pPr>
            <w:r>
              <w:rPr>
                <w:rFonts w:hint="eastAsia" w:ascii="宋体" w:hAnsi="宋体" w:cs="宋体"/>
                <w:sz w:val="24"/>
              </w:rPr>
              <w:t>固定资产管理制度</w:t>
            </w:r>
          </w:p>
        </w:tc>
        <w:tc>
          <w:tcPr>
            <w:tcW w:w="1787" w:type="dxa"/>
            <w:vAlign w:val="center"/>
          </w:tcPr>
          <w:p w14:paraId="000140D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55288F7">
            <w:pPr>
              <w:spacing w:line="360" w:lineRule="auto"/>
              <w:rPr>
                <w:rFonts w:ascii="宋体" w:hAnsi="宋体" w:cs="宋体"/>
                <w:kern w:val="0"/>
                <w:sz w:val="22"/>
              </w:rPr>
            </w:pPr>
          </w:p>
        </w:tc>
      </w:tr>
      <w:tr w14:paraId="5C8D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79CB41">
            <w:pPr>
              <w:spacing w:line="360" w:lineRule="auto"/>
              <w:jc w:val="center"/>
              <w:rPr>
                <w:rFonts w:ascii="宋体" w:hAnsi="宋体" w:cs="宋体"/>
                <w:kern w:val="0"/>
                <w:sz w:val="24"/>
              </w:rPr>
            </w:pPr>
          </w:p>
        </w:tc>
        <w:tc>
          <w:tcPr>
            <w:tcW w:w="2051" w:type="dxa"/>
            <w:vMerge w:val="continue"/>
            <w:vAlign w:val="center"/>
          </w:tcPr>
          <w:p w14:paraId="4673F494">
            <w:pPr>
              <w:spacing w:line="360" w:lineRule="auto"/>
              <w:jc w:val="center"/>
              <w:rPr>
                <w:rFonts w:ascii="宋体" w:hAnsi="宋体" w:cs="宋体"/>
                <w:kern w:val="0"/>
                <w:sz w:val="24"/>
              </w:rPr>
            </w:pPr>
          </w:p>
        </w:tc>
        <w:tc>
          <w:tcPr>
            <w:tcW w:w="2061" w:type="dxa"/>
            <w:vAlign w:val="center"/>
          </w:tcPr>
          <w:p w14:paraId="657B5541">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45358499">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17CED92B">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8E1ED5E">
            <w:pPr>
              <w:spacing w:line="360" w:lineRule="auto"/>
              <w:jc w:val="center"/>
              <w:rPr>
                <w:rFonts w:ascii="宋体" w:hAnsi="宋体" w:cs="宋体"/>
                <w:kern w:val="0"/>
                <w:sz w:val="24"/>
              </w:rPr>
            </w:pPr>
            <w:r>
              <w:rPr>
                <w:rFonts w:hint="eastAsia" w:ascii="宋体" w:hAnsi="宋体" w:cs="宋体"/>
                <w:sz w:val="24"/>
              </w:rPr>
              <w:t>固定资产管理制度、资产云系统</w:t>
            </w:r>
          </w:p>
        </w:tc>
        <w:tc>
          <w:tcPr>
            <w:tcW w:w="1787" w:type="dxa"/>
            <w:vAlign w:val="center"/>
          </w:tcPr>
          <w:p w14:paraId="0E7ED2F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426E890">
            <w:pPr>
              <w:spacing w:line="360" w:lineRule="auto"/>
              <w:rPr>
                <w:rFonts w:ascii="宋体" w:hAnsi="宋体" w:cs="宋体"/>
                <w:kern w:val="0"/>
                <w:sz w:val="22"/>
              </w:rPr>
            </w:pPr>
          </w:p>
        </w:tc>
      </w:tr>
      <w:tr w14:paraId="4E2C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F9F38E">
            <w:pPr>
              <w:spacing w:line="360" w:lineRule="auto"/>
              <w:jc w:val="center"/>
              <w:rPr>
                <w:rFonts w:ascii="宋体" w:hAnsi="宋体" w:cs="宋体"/>
                <w:kern w:val="0"/>
                <w:sz w:val="24"/>
              </w:rPr>
            </w:pPr>
          </w:p>
        </w:tc>
        <w:tc>
          <w:tcPr>
            <w:tcW w:w="2051" w:type="dxa"/>
            <w:vMerge w:val="continue"/>
            <w:vAlign w:val="center"/>
          </w:tcPr>
          <w:p w14:paraId="667523A8">
            <w:pPr>
              <w:spacing w:line="360" w:lineRule="auto"/>
              <w:jc w:val="center"/>
              <w:rPr>
                <w:rFonts w:ascii="宋体" w:hAnsi="宋体" w:cs="宋体"/>
                <w:kern w:val="0"/>
                <w:sz w:val="24"/>
              </w:rPr>
            </w:pPr>
          </w:p>
        </w:tc>
        <w:tc>
          <w:tcPr>
            <w:tcW w:w="2061" w:type="dxa"/>
            <w:vAlign w:val="center"/>
          </w:tcPr>
          <w:p w14:paraId="22EFD93F">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009CF79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E8DF4C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F5CF530">
            <w:pPr>
              <w:spacing w:line="360" w:lineRule="auto"/>
              <w:jc w:val="center"/>
              <w:rPr>
                <w:rFonts w:ascii="宋体" w:hAnsi="宋体" w:cs="宋体"/>
                <w:kern w:val="0"/>
                <w:sz w:val="24"/>
              </w:rPr>
            </w:pPr>
            <w:r>
              <w:rPr>
                <w:rFonts w:hint="eastAsia" w:ascii="宋体" w:hAnsi="宋体" w:cs="宋体"/>
                <w:sz w:val="24"/>
              </w:rPr>
              <w:t>资产盘点表</w:t>
            </w:r>
          </w:p>
        </w:tc>
        <w:tc>
          <w:tcPr>
            <w:tcW w:w="1787" w:type="dxa"/>
            <w:vAlign w:val="center"/>
          </w:tcPr>
          <w:p w14:paraId="7FCADA8D">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9B419D2">
            <w:pPr>
              <w:spacing w:line="360" w:lineRule="auto"/>
              <w:rPr>
                <w:rFonts w:ascii="宋体" w:hAnsi="宋体" w:cs="宋体"/>
                <w:kern w:val="0"/>
                <w:sz w:val="22"/>
              </w:rPr>
            </w:pPr>
          </w:p>
        </w:tc>
      </w:tr>
      <w:tr w14:paraId="5B83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86A30AB">
            <w:pPr>
              <w:spacing w:line="360" w:lineRule="auto"/>
              <w:jc w:val="center"/>
              <w:rPr>
                <w:rFonts w:ascii="宋体" w:hAnsi="宋体" w:cs="宋体"/>
                <w:kern w:val="0"/>
                <w:sz w:val="24"/>
              </w:rPr>
            </w:pPr>
          </w:p>
        </w:tc>
        <w:tc>
          <w:tcPr>
            <w:tcW w:w="2051" w:type="dxa"/>
            <w:vMerge w:val="continue"/>
            <w:vAlign w:val="center"/>
          </w:tcPr>
          <w:p w14:paraId="7F0E5A65">
            <w:pPr>
              <w:spacing w:line="360" w:lineRule="auto"/>
              <w:jc w:val="center"/>
              <w:rPr>
                <w:rFonts w:ascii="宋体" w:hAnsi="宋体" w:cs="宋体"/>
                <w:kern w:val="0"/>
                <w:sz w:val="24"/>
              </w:rPr>
            </w:pPr>
          </w:p>
        </w:tc>
        <w:tc>
          <w:tcPr>
            <w:tcW w:w="2061" w:type="dxa"/>
            <w:vAlign w:val="center"/>
          </w:tcPr>
          <w:p w14:paraId="5B4566C2">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27EB63A3">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44DA119">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86578C4">
            <w:pPr>
              <w:spacing w:line="360" w:lineRule="auto"/>
              <w:jc w:val="center"/>
              <w:rPr>
                <w:rFonts w:ascii="宋体" w:hAnsi="宋体" w:cs="宋体"/>
                <w:kern w:val="0"/>
                <w:sz w:val="24"/>
              </w:rPr>
            </w:pPr>
            <w:r>
              <w:rPr>
                <w:rFonts w:hint="eastAsia" w:ascii="宋体" w:hAnsi="宋体" w:cs="宋体"/>
                <w:sz w:val="24"/>
              </w:rPr>
              <w:tab/>
            </w:r>
            <w:r>
              <w:rPr>
                <w:rFonts w:hint="eastAsia" w:ascii="宋体" w:hAnsi="宋体" w:cs="宋体"/>
                <w:sz w:val="24"/>
              </w:rPr>
              <w:t>项目管理制度</w:t>
            </w:r>
          </w:p>
        </w:tc>
        <w:tc>
          <w:tcPr>
            <w:tcW w:w="1787" w:type="dxa"/>
            <w:vAlign w:val="center"/>
          </w:tcPr>
          <w:p w14:paraId="3DCF39A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5A4AAE">
            <w:pPr>
              <w:spacing w:line="360" w:lineRule="auto"/>
              <w:rPr>
                <w:rFonts w:ascii="宋体" w:hAnsi="宋体" w:cs="宋体"/>
                <w:kern w:val="0"/>
                <w:sz w:val="22"/>
              </w:rPr>
            </w:pPr>
          </w:p>
        </w:tc>
      </w:tr>
      <w:tr w14:paraId="2F19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8AE423F">
            <w:pPr>
              <w:spacing w:line="360" w:lineRule="auto"/>
              <w:jc w:val="center"/>
              <w:rPr>
                <w:rFonts w:ascii="宋体" w:hAnsi="宋体" w:cs="宋体"/>
                <w:kern w:val="0"/>
                <w:sz w:val="24"/>
              </w:rPr>
            </w:pPr>
          </w:p>
        </w:tc>
        <w:tc>
          <w:tcPr>
            <w:tcW w:w="2051" w:type="dxa"/>
            <w:vMerge w:val="continue"/>
            <w:vAlign w:val="center"/>
          </w:tcPr>
          <w:p w14:paraId="2E2317BB">
            <w:pPr>
              <w:spacing w:line="360" w:lineRule="auto"/>
              <w:jc w:val="center"/>
              <w:rPr>
                <w:rFonts w:ascii="宋体" w:hAnsi="宋体" w:cs="宋体"/>
                <w:kern w:val="0"/>
                <w:sz w:val="24"/>
              </w:rPr>
            </w:pPr>
          </w:p>
        </w:tc>
        <w:tc>
          <w:tcPr>
            <w:tcW w:w="2061" w:type="dxa"/>
            <w:vAlign w:val="center"/>
          </w:tcPr>
          <w:p w14:paraId="5A1E1336">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18336196">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5881DFB0">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8EA72BE">
            <w:pPr>
              <w:spacing w:line="360" w:lineRule="auto"/>
              <w:jc w:val="center"/>
              <w:rPr>
                <w:rFonts w:ascii="宋体" w:hAnsi="宋体" w:cs="宋体"/>
                <w:kern w:val="0"/>
                <w:sz w:val="24"/>
              </w:rPr>
            </w:pPr>
            <w:r>
              <w:rPr>
                <w:rFonts w:hint="eastAsia" w:ascii="宋体" w:hAnsi="宋体" w:cs="宋体"/>
                <w:sz w:val="24"/>
              </w:rPr>
              <w:t>项目管理制度、项目管理档案</w:t>
            </w:r>
          </w:p>
        </w:tc>
        <w:tc>
          <w:tcPr>
            <w:tcW w:w="1787" w:type="dxa"/>
            <w:vAlign w:val="center"/>
          </w:tcPr>
          <w:p w14:paraId="125AE1C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F7AEC35">
            <w:pPr>
              <w:spacing w:line="360" w:lineRule="auto"/>
              <w:rPr>
                <w:rFonts w:ascii="宋体" w:hAnsi="宋体" w:cs="宋体"/>
                <w:kern w:val="0"/>
                <w:sz w:val="22"/>
              </w:rPr>
            </w:pPr>
          </w:p>
        </w:tc>
      </w:tr>
      <w:tr w14:paraId="3FFD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4F201B2">
            <w:pPr>
              <w:spacing w:line="360" w:lineRule="auto"/>
              <w:jc w:val="center"/>
              <w:rPr>
                <w:rFonts w:ascii="宋体" w:hAnsi="宋体" w:cs="宋体"/>
                <w:kern w:val="0"/>
                <w:sz w:val="24"/>
              </w:rPr>
            </w:pPr>
          </w:p>
        </w:tc>
        <w:tc>
          <w:tcPr>
            <w:tcW w:w="2051" w:type="dxa"/>
            <w:vMerge w:val="continue"/>
            <w:vAlign w:val="center"/>
          </w:tcPr>
          <w:p w14:paraId="3F380927">
            <w:pPr>
              <w:spacing w:line="360" w:lineRule="auto"/>
              <w:jc w:val="center"/>
              <w:rPr>
                <w:rFonts w:ascii="宋体" w:hAnsi="宋体" w:cs="宋体"/>
                <w:kern w:val="0"/>
                <w:sz w:val="24"/>
              </w:rPr>
            </w:pPr>
          </w:p>
        </w:tc>
        <w:tc>
          <w:tcPr>
            <w:tcW w:w="2061" w:type="dxa"/>
            <w:vAlign w:val="center"/>
          </w:tcPr>
          <w:p w14:paraId="0166F6B3">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011CC8B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C38499D">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C61500A">
            <w:pPr>
              <w:spacing w:line="360" w:lineRule="auto"/>
              <w:jc w:val="center"/>
              <w:rPr>
                <w:rFonts w:ascii="宋体" w:hAnsi="宋体" w:cs="宋体"/>
                <w:kern w:val="0"/>
                <w:sz w:val="24"/>
              </w:rPr>
            </w:pPr>
            <w:r>
              <w:rPr>
                <w:rFonts w:hint="eastAsia" w:ascii="宋体" w:hAnsi="宋体" w:cs="宋体"/>
                <w:sz w:val="24"/>
              </w:rPr>
              <w:t>编办审批文件</w:t>
            </w:r>
          </w:p>
        </w:tc>
        <w:tc>
          <w:tcPr>
            <w:tcW w:w="1787" w:type="dxa"/>
            <w:vAlign w:val="center"/>
          </w:tcPr>
          <w:p w14:paraId="2EC852B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B78B067">
            <w:pPr>
              <w:spacing w:line="360" w:lineRule="auto"/>
              <w:rPr>
                <w:rFonts w:ascii="宋体" w:hAnsi="宋体" w:cs="宋体"/>
                <w:kern w:val="0"/>
                <w:sz w:val="22"/>
              </w:rPr>
            </w:pPr>
          </w:p>
        </w:tc>
      </w:tr>
      <w:tr w14:paraId="2202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BBCCA8C">
            <w:pPr>
              <w:spacing w:line="360" w:lineRule="auto"/>
              <w:jc w:val="center"/>
              <w:rPr>
                <w:rFonts w:ascii="宋体" w:hAnsi="宋体" w:cs="宋体"/>
                <w:kern w:val="0"/>
                <w:sz w:val="24"/>
              </w:rPr>
            </w:pPr>
          </w:p>
        </w:tc>
        <w:tc>
          <w:tcPr>
            <w:tcW w:w="2051" w:type="dxa"/>
            <w:vMerge w:val="continue"/>
            <w:vAlign w:val="center"/>
          </w:tcPr>
          <w:p w14:paraId="729E544F">
            <w:pPr>
              <w:spacing w:line="360" w:lineRule="auto"/>
              <w:jc w:val="center"/>
              <w:rPr>
                <w:rFonts w:ascii="宋体" w:hAnsi="宋体" w:cs="宋体"/>
                <w:kern w:val="0"/>
                <w:sz w:val="24"/>
              </w:rPr>
            </w:pPr>
          </w:p>
        </w:tc>
        <w:tc>
          <w:tcPr>
            <w:tcW w:w="2061" w:type="dxa"/>
            <w:vAlign w:val="center"/>
          </w:tcPr>
          <w:p w14:paraId="34FDF479">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4EBC8A25">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6DC1377B">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C506C31">
            <w:pPr>
              <w:spacing w:line="360" w:lineRule="auto"/>
              <w:jc w:val="center"/>
              <w:rPr>
                <w:rFonts w:ascii="宋体" w:hAnsi="宋体" w:cs="宋体"/>
                <w:kern w:val="0"/>
                <w:sz w:val="24"/>
              </w:rPr>
            </w:pPr>
            <w:r>
              <w:rPr>
                <w:rFonts w:hint="eastAsia" w:ascii="宋体" w:hAnsi="宋体" w:cs="宋体"/>
                <w:sz w:val="24"/>
              </w:rPr>
              <w:t>人事管理制度</w:t>
            </w:r>
          </w:p>
        </w:tc>
        <w:tc>
          <w:tcPr>
            <w:tcW w:w="1787" w:type="dxa"/>
            <w:vAlign w:val="center"/>
          </w:tcPr>
          <w:p w14:paraId="5EBF35A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2145A9">
            <w:pPr>
              <w:spacing w:line="360" w:lineRule="auto"/>
              <w:rPr>
                <w:rFonts w:ascii="宋体" w:hAnsi="宋体" w:cs="宋体"/>
                <w:kern w:val="0"/>
                <w:sz w:val="22"/>
              </w:rPr>
            </w:pPr>
          </w:p>
        </w:tc>
      </w:tr>
      <w:tr w14:paraId="0C17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8FD198E">
            <w:pPr>
              <w:spacing w:line="360" w:lineRule="auto"/>
              <w:jc w:val="center"/>
              <w:rPr>
                <w:rFonts w:ascii="宋体" w:hAnsi="宋体" w:cs="宋体"/>
                <w:kern w:val="0"/>
                <w:sz w:val="24"/>
              </w:rPr>
            </w:pPr>
          </w:p>
        </w:tc>
        <w:tc>
          <w:tcPr>
            <w:tcW w:w="2051" w:type="dxa"/>
            <w:vMerge w:val="continue"/>
            <w:vAlign w:val="center"/>
          </w:tcPr>
          <w:p w14:paraId="1B153682">
            <w:pPr>
              <w:spacing w:line="360" w:lineRule="auto"/>
              <w:jc w:val="center"/>
              <w:rPr>
                <w:rFonts w:ascii="宋体" w:hAnsi="宋体" w:cs="宋体"/>
                <w:kern w:val="0"/>
                <w:sz w:val="24"/>
              </w:rPr>
            </w:pPr>
          </w:p>
        </w:tc>
        <w:tc>
          <w:tcPr>
            <w:tcW w:w="2061" w:type="dxa"/>
            <w:vAlign w:val="center"/>
          </w:tcPr>
          <w:p w14:paraId="6154ABAF">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73EF6E16">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6566E3AF">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0A902CE3">
            <w:pPr>
              <w:spacing w:line="360" w:lineRule="auto"/>
              <w:jc w:val="center"/>
              <w:rPr>
                <w:rFonts w:ascii="宋体" w:hAnsi="宋体" w:cs="宋体"/>
                <w:kern w:val="0"/>
                <w:sz w:val="24"/>
              </w:rPr>
            </w:pPr>
            <w:r>
              <w:rPr>
                <w:rFonts w:hint="eastAsia" w:ascii="宋体" w:hAnsi="宋体" w:cs="宋体"/>
                <w:sz w:val="24"/>
              </w:rPr>
              <w:t>人事管理制度、人事档案</w:t>
            </w:r>
          </w:p>
        </w:tc>
        <w:tc>
          <w:tcPr>
            <w:tcW w:w="1787" w:type="dxa"/>
            <w:vAlign w:val="center"/>
          </w:tcPr>
          <w:p w14:paraId="3F29C365">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EFA6154">
            <w:pPr>
              <w:spacing w:line="360" w:lineRule="auto"/>
              <w:rPr>
                <w:rFonts w:ascii="宋体" w:hAnsi="宋体" w:cs="宋体"/>
                <w:kern w:val="0"/>
                <w:sz w:val="22"/>
              </w:rPr>
            </w:pPr>
          </w:p>
        </w:tc>
      </w:tr>
      <w:tr w14:paraId="41F6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5B454B2">
            <w:pPr>
              <w:spacing w:line="360" w:lineRule="auto"/>
              <w:jc w:val="center"/>
              <w:rPr>
                <w:rFonts w:ascii="宋体" w:hAnsi="宋体" w:cs="宋体"/>
                <w:kern w:val="0"/>
                <w:sz w:val="24"/>
              </w:rPr>
            </w:pPr>
          </w:p>
        </w:tc>
        <w:tc>
          <w:tcPr>
            <w:tcW w:w="2051" w:type="dxa"/>
            <w:vMerge w:val="continue"/>
            <w:vAlign w:val="center"/>
          </w:tcPr>
          <w:p w14:paraId="372FB910">
            <w:pPr>
              <w:spacing w:line="360" w:lineRule="auto"/>
              <w:jc w:val="center"/>
              <w:rPr>
                <w:rFonts w:ascii="宋体" w:hAnsi="宋体" w:cs="宋体"/>
                <w:kern w:val="0"/>
                <w:sz w:val="24"/>
              </w:rPr>
            </w:pPr>
          </w:p>
        </w:tc>
        <w:tc>
          <w:tcPr>
            <w:tcW w:w="2061" w:type="dxa"/>
            <w:vAlign w:val="center"/>
          </w:tcPr>
          <w:p w14:paraId="282B59FC">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54A66C9B">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1AC02A17">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45831976">
            <w:pPr>
              <w:spacing w:line="360" w:lineRule="auto"/>
              <w:jc w:val="center"/>
              <w:rPr>
                <w:rFonts w:ascii="宋体" w:hAnsi="宋体" w:cs="宋体"/>
                <w:kern w:val="0"/>
                <w:sz w:val="24"/>
              </w:rPr>
            </w:pPr>
            <w:r>
              <w:rPr>
                <w:rFonts w:hint="eastAsia" w:ascii="宋体" w:hAnsi="宋体" w:cs="宋体"/>
                <w:sz w:val="24"/>
              </w:rPr>
              <w:t>办公会会议记录</w:t>
            </w:r>
          </w:p>
        </w:tc>
        <w:tc>
          <w:tcPr>
            <w:tcW w:w="1787" w:type="dxa"/>
            <w:vAlign w:val="center"/>
          </w:tcPr>
          <w:p w14:paraId="37E41CF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E469754">
            <w:pPr>
              <w:spacing w:line="360" w:lineRule="auto"/>
              <w:rPr>
                <w:rFonts w:ascii="宋体" w:hAnsi="宋体" w:cs="宋体"/>
                <w:kern w:val="0"/>
                <w:sz w:val="22"/>
              </w:rPr>
            </w:pPr>
          </w:p>
        </w:tc>
      </w:tr>
      <w:tr w14:paraId="02D1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340458">
            <w:pPr>
              <w:spacing w:line="360" w:lineRule="auto"/>
              <w:jc w:val="center"/>
              <w:rPr>
                <w:rFonts w:ascii="宋体" w:hAnsi="宋体" w:cs="宋体"/>
                <w:kern w:val="0"/>
                <w:sz w:val="24"/>
              </w:rPr>
            </w:pPr>
          </w:p>
        </w:tc>
        <w:tc>
          <w:tcPr>
            <w:tcW w:w="2051" w:type="dxa"/>
            <w:vMerge w:val="continue"/>
            <w:vAlign w:val="center"/>
          </w:tcPr>
          <w:p w14:paraId="60B399CF">
            <w:pPr>
              <w:spacing w:line="360" w:lineRule="auto"/>
              <w:jc w:val="center"/>
              <w:rPr>
                <w:rFonts w:ascii="宋体" w:hAnsi="宋体" w:cs="宋体"/>
                <w:kern w:val="0"/>
                <w:sz w:val="24"/>
              </w:rPr>
            </w:pPr>
          </w:p>
        </w:tc>
        <w:tc>
          <w:tcPr>
            <w:tcW w:w="2061" w:type="dxa"/>
            <w:vAlign w:val="center"/>
          </w:tcPr>
          <w:p w14:paraId="3FB2A5A8">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68400197">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20A21D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A71F45D">
            <w:pPr>
              <w:spacing w:line="360" w:lineRule="auto"/>
              <w:jc w:val="center"/>
              <w:rPr>
                <w:rFonts w:ascii="宋体" w:hAnsi="宋体" w:cs="宋体"/>
                <w:kern w:val="0"/>
                <w:sz w:val="24"/>
              </w:rPr>
            </w:pPr>
            <w:r>
              <w:rPr>
                <w:rFonts w:hint="eastAsia" w:ascii="宋体" w:hAnsi="宋体" w:cs="宋体"/>
                <w:sz w:val="24"/>
              </w:rPr>
              <w:t>培训费支出明细</w:t>
            </w:r>
          </w:p>
        </w:tc>
        <w:tc>
          <w:tcPr>
            <w:tcW w:w="1787" w:type="dxa"/>
            <w:vAlign w:val="center"/>
          </w:tcPr>
          <w:p w14:paraId="0E686F9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8261CEE">
            <w:pPr>
              <w:spacing w:line="360" w:lineRule="auto"/>
              <w:rPr>
                <w:rFonts w:ascii="宋体" w:hAnsi="宋体" w:cs="宋体"/>
                <w:kern w:val="0"/>
                <w:sz w:val="22"/>
              </w:rPr>
            </w:pPr>
          </w:p>
        </w:tc>
      </w:tr>
      <w:tr w14:paraId="6E5F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3728C2E">
            <w:pPr>
              <w:spacing w:line="360" w:lineRule="auto"/>
              <w:jc w:val="center"/>
              <w:rPr>
                <w:rFonts w:ascii="宋体" w:hAnsi="宋体" w:cs="宋体"/>
                <w:kern w:val="0"/>
                <w:sz w:val="24"/>
              </w:rPr>
            </w:pPr>
          </w:p>
        </w:tc>
        <w:tc>
          <w:tcPr>
            <w:tcW w:w="2051" w:type="dxa"/>
            <w:vMerge w:val="continue"/>
            <w:vAlign w:val="center"/>
          </w:tcPr>
          <w:p w14:paraId="707ACA91">
            <w:pPr>
              <w:spacing w:line="360" w:lineRule="auto"/>
              <w:jc w:val="center"/>
              <w:rPr>
                <w:rFonts w:ascii="宋体" w:hAnsi="宋体" w:cs="宋体"/>
                <w:kern w:val="0"/>
                <w:sz w:val="24"/>
              </w:rPr>
            </w:pPr>
          </w:p>
        </w:tc>
        <w:tc>
          <w:tcPr>
            <w:tcW w:w="2061" w:type="dxa"/>
            <w:vAlign w:val="center"/>
          </w:tcPr>
          <w:p w14:paraId="6B39AB50">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0F2BC97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00A1A3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BC1781E">
            <w:pPr>
              <w:spacing w:line="360" w:lineRule="auto"/>
              <w:jc w:val="center"/>
              <w:rPr>
                <w:rFonts w:ascii="宋体" w:hAnsi="宋体" w:cs="宋体"/>
                <w:kern w:val="0"/>
                <w:sz w:val="24"/>
              </w:rPr>
            </w:pPr>
            <w:r>
              <w:rPr>
                <w:rFonts w:hint="eastAsia" w:ascii="宋体" w:hAnsi="宋体" w:cs="宋体"/>
                <w:sz w:val="24"/>
              </w:rPr>
              <w:t>事业单位法人证</w:t>
            </w:r>
          </w:p>
        </w:tc>
        <w:tc>
          <w:tcPr>
            <w:tcW w:w="1787" w:type="dxa"/>
            <w:vAlign w:val="center"/>
          </w:tcPr>
          <w:p w14:paraId="41AEA12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9C24CCA">
            <w:pPr>
              <w:spacing w:line="360" w:lineRule="auto"/>
              <w:rPr>
                <w:rFonts w:ascii="宋体" w:hAnsi="宋体" w:cs="宋体"/>
                <w:kern w:val="0"/>
                <w:sz w:val="22"/>
              </w:rPr>
            </w:pPr>
          </w:p>
        </w:tc>
      </w:tr>
      <w:tr w14:paraId="4D76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65E97A4">
            <w:pPr>
              <w:spacing w:line="360" w:lineRule="auto"/>
              <w:jc w:val="center"/>
              <w:rPr>
                <w:rFonts w:ascii="宋体" w:hAnsi="宋体" w:cs="宋体"/>
                <w:kern w:val="0"/>
                <w:sz w:val="24"/>
              </w:rPr>
            </w:pPr>
          </w:p>
        </w:tc>
        <w:tc>
          <w:tcPr>
            <w:tcW w:w="2051" w:type="dxa"/>
            <w:vMerge w:val="continue"/>
            <w:vAlign w:val="center"/>
          </w:tcPr>
          <w:p w14:paraId="68E4ED4B">
            <w:pPr>
              <w:spacing w:line="360" w:lineRule="auto"/>
              <w:jc w:val="center"/>
              <w:rPr>
                <w:rFonts w:ascii="宋体" w:hAnsi="宋体" w:cs="宋体"/>
                <w:kern w:val="0"/>
                <w:sz w:val="24"/>
              </w:rPr>
            </w:pPr>
          </w:p>
        </w:tc>
        <w:tc>
          <w:tcPr>
            <w:tcW w:w="2061" w:type="dxa"/>
            <w:vAlign w:val="center"/>
          </w:tcPr>
          <w:p w14:paraId="4DC0D56F">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3FE8A0B3">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371DFB94">
            <w:pPr>
              <w:spacing w:line="360" w:lineRule="auto"/>
              <w:jc w:val="center"/>
              <w:rPr>
                <w:rFonts w:ascii="宋体" w:hAnsi="宋体" w:cs="宋体"/>
                <w:kern w:val="0"/>
                <w:sz w:val="24"/>
              </w:rPr>
            </w:pPr>
            <w:r>
              <w:rPr>
                <w:rFonts w:hint="eastAsia" w:ascii="宋体" w:hAnsi="宋体" w:cs="宋体"/>
                <w:sz w:val="24"/>
              </w:rPr>
              <w:t>131.25%</w:t>
            </w:r>
          </w:p>
        </w:tc>
        <w:tc>
          <w:tcPr>
            <w:tcW w:w="1866" w:type="dxa"/>
            <w:vAlign w:val="center"/>
          </w:tcPr>
          <w:p w14:paraId="5D05B44F">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000CD6EA">
            <w:pPr>
              <w:spacing w:line="360" w:lineRule="auto"/>
              <w:jc w:val="center"/>
              <w:rPr>
                <w:rFonts w:ascii="宋体" w:hAnsi="宋体" w:cs="宋体"/>
                <w:kern w:val="0"/>
                <w:sz w:val="24"/>
              </w:rPr>
            </w:pPr>
            <w:r>
              <w:rPr>
                <w:rFonts w:hint="eastAsia" w:ascii="宋体" w:hAnsi="宋体" w:cs="宋体"/>
                <w:sz w:val="24"/>
              </w:rPr>
              <w:t>1212.50%</w:t>
            </w:r>
          </w:p>
        </w:tc>
        <w:tc>
          <w:tcPr>
            <w:tcW w:w="1071" w:type="dxa"/>
          </w:tcPr>
          <w:p w14:paraId="7AB03B7D">
            <w:pPr>
              <w:spacing w:line="360" w:lineRule="auto"/>
              <w:rPr>
                <w:rFonts w:ascii="宋体" w:hAnsi="宋体" w:cs="宋体"/>
                <w:kern w:val="0"/>
                <w:sz w:val="22"/>
              </w:rPr>
            </w:pPr>
            <w:r>
              <w:rPr>
                <w:rFonts w:hint="eastAsia" w:ascii="宋体" w:hAnsi="宋体" w:cs="宋体"/>
                <w:sz w:val="24"/>
              </w:rPr>
              <w:t>年内收到上级专项补助资金522.24万元，导致预算偏差率较大</w:t>
            </w:r>
          </w:p>
        </w:tc>
      </w:tr>
      <w:tr w14:paraId="0F41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C03990E">
            <w:pPr>
              <w:spacing w:line="360" w:lineRule="auto"/>
              <w:jc w:val="center"/>
              <w:rPr>
                <w:rFonts w:ascii="宋体" w:hAnsi="宋体" w:cs="宋体"/>
                <w:kern w:val="0"/>
                <w:sz w:val="24"/>
              </w:rPr>
            </w:pPr>
          </w:p>
        </w:tc>
        <w:tc>
          <w:tcPr>
            <w:tcW w:w="2051" w:type="dxa"/>
            <w:vMerge w:val="continue"/>
            <w:vAlign w:val="center"/>
          </w:tcPr>
          <w:p w14:paraId="7925CC29">
            <w:pPr>
              <w:spacing w:line="360" w:lineRule="auto"/>
              <w:jc w:val="center"/>
              <w:rPr>
                <w:rFonts w:ascii="宋体" w:hAnsi="宋体" w:cs="宋体"/>
                <w:kern w:val="0"/>
                <w:sz w:val="24"/>
              </w:rPr>
            </w:pPr>
          </w:p>
        </w:tc>
        <w:tc>
          <w:tcPr>
            <w:tcW w:w="2061" w:type="dxa"/>
            <w:vAlign w:val="center"/>
          </w:tcPr>
          <w:p w14:paraId="6F3360EF">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51974F70">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391EA95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E994FCC">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5B589C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D994CCF">
            <w:pPr>
              <w:spacing w:line="360" w:lineRule="auto"/>
              <w:rPr>
                <w:rFonts w:ascii="宋体" w:hAnsi="宋体" w:cs="宋体"/>
                <w:kern w:val="0"/>
                <w:sz w:val="22"/>
              </w:rPr>
            </w:pPr>
          </w:p>
        </w:tc>
      </w:tr>
      <w:tr w14:paraId="5426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0484DA6">
            <w:pPr>
              <w:spacing w:line="360" w:lineRule="auto"/>
              <w:jc w:val="center"/>
              <w:rPr>
                <w:rFonts w:ascii="宋体" w:hAnsi="宋体" w:cs="宋体"/>
                <w:kern w:val="0"/>
                <w:sz w:val="24"/>
              </w:rPr>
            </w:pPr>
          </w:p>
        </w:tc>
        <w:tc>
          <w:tcPr>
            <w:tcW w:w="2051" w:type="dxa"/>
            <w:vMerge w:val="continue"/>
            <w:vAlign w:val="center"/>
          </w:tcPr>
          <w:p w14:paraId="7E9F6336">
            <w:pPr>
              <w:spacing w:line="360" w:lineRule="auto"/>
              <w:jc w:val="center"/>
              <w:rPr>
                <w:rFonts w:ascii="宋体" w:hAnsi="宋体" w:cs="宋体"/>
                <w:kern w:val="0"/>
                <w:sz w:val="24"/>
              </w:rPr>
            </w:pPr>
          </w:p>
        </w:tc>
        <w:tc>
          <w:tcPr>
            <w:tcW w:w="2061" w:type="dxa"/>
            <w:vAlign w:val="center"/>
          </w:tcPr>
          <w:p w14:paraId="6CCD4B72">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13216196">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4D375E7A">
            <w:pPr>
              <w:spacing w:line="360" w:lineRule="auto"/>
              <w:jc w:val="center"/>
              <w:rPr>
                <w:rFonts w:ascii="宋体" w:hAnsi="宋体" w:cs="宋体"/>
                <w:kern w:val="0"/>
                <w:sz w:val="24"/>
              </w:rPr>
            </w:pPr>
            <w:r>
              <w:rPr>
                <w:rFonts w:hint="eastAsia" w:ascii="宋体" w:hAnsi="宋体" w:cs="宋体"/>
                <w:sz w:val="24"/>
              </w:rPr>
              <w:t>140.1%</w:t>
            </w:r>
          </w:p>
        </w:tc>
        <w:tc>
          <w:tcPr>
            <w:tcW w:w="1866" w:type="dxa"/>
            <w:vAlign w:val="center"/>
          </w:tcPr>
          <w:p w14:paraId="75D6107A">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1DBA205D">
            <w:pPr>
              <w:spacing w:line="360" w:lineRule="auto"/>
              <w:jc w:val="center"/>
              <w:rPr>
                <w:rFonts w:ascii="宋体" w:hAnsi="宋体" w:cs="宋体"/>
                <w:kern w:val="0"/>
                <w:sz w:val="24"/>
              </w:rPr>
            </w:pPr>
            <w:r>
              <w:rPr>
                <w:rFonts w:hint="eastAsia" w:ascii="宋体" w:hAnsi="宋体" w:cs="宋体"/>
                <w:sz w:val="24"/>
              </w:rPr>
              <w:t>100%</w:t>
            </w:r>
          </w:p>
        </w:tc>
        <w:tc>
          <w:tcPr>
            <w:tcW w:w="1071" w:type="dxa"/>
          </w:tcPr>
          <w:p w14:paraId="016E553C">
            <w:pPr>
              <w:spacing w:line="360" w:lineRule="auto"/>
              <w:rPr>
                <w:rFonts w:ascii="宋体" w:hAnsi="宋体" w:cs="宋体"/>
                <w:kern w:val="0"/>
                <w:sz w:val="22"/>
              </w:rPr>
            </w:pPr>
            <w:r>
              <w:rPr>
                <w:rFonts w:hint="eastAsia" w:ascii="宋体" w:hAnsi="宋体" w:cs="宋体"/>
                <w:sz w:val="24"/>
              </w:rPr>
              <w:t>年内基本支出预算较年初调增73.18万元，项目支出预算较年初调增554.57万元，主要是新增了专项补助资金项目522.24万元。</w:t>
            </w:r>
          </w:p>
        </w:tc>
      </w:tr>
      <w:tr w14:paraId="0EEC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5497810">
            <w:pPr>
              <w:spacing w:line="360" w:lineRule="auto"/>
              <w:jc w:val="center"/>
              <w:rPr>
                <w:rFonts w:ascii="宋体" w:hAnsi="宋体" w:cs="宋体"/>
                <w:kern w:val="0"/>
                <w:sz w:val="24"/>
              </w:rPr>
            </w:pPr>
          </w:p>
        </w:tc>
        <w:tc>
          <w:tcPr>
            <w:tcW w:w="2051" w:type="dxa"/>
            <w:vMerge w:val="continue"/>
            <w:vAlign w:val="center"/>
          </w:tcPr>
          <w:p w14:paraId="021EFD04">
            <w:pPr>
              <w:spacing w:line="360" w:lineRule="auto"/>
              <w:jc w:val="center"/>
              <w:rPr>
                <w:rFonts w:ascii="宋体" w:hAnsi="宋体" w:cs="宋体"/>
                <w:kern w:val="0"/>
                <w:sz w:val="24"/>
              </w:rPr>
            </w:pPr>
          </w:p>
        </w:tc>
        <w:tc>
          <w:tcPr>
            <w:tcW w:w="2061" w:type="dxa"/>
            <w:vAlign w:val="center"/>
          </w:tcPr>
          <w:p w14:paraId="22E63407">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74027246">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34949D3E">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32D2B674">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C13EE5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2EDDEE9">
            <w:pPr>
              <w:spacing w:line="360" w:lineRule="auto"/>
              <w:rPr>
                <w:rFonts w:ascii="宋体" w:hAnsi="宋体" w:cs="宋体"/>
                <w:kern w:val="0"/>
                <w:sz w:val="22"/>
              </w:rPr>
            </w:pPr>
          </w:p>
        </w:tc>
      </w:tr>
      <w:tr w14:paraId="2431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B02125E">
            <w:pPr>
              <w:spacing w:line="360" w:lineRule="auto"/>
              <w:jc w:val="center"/>
              <w:rPr>
                <w:rFonts w:ascii="宋体" w:hAnsi="宋体" w:cs="宋体"/>
                <w:kern w:val="0"/>
                <w:sz w:val="24"/>
              </w:rPr>
            </w:pPr>
          </w:p>
        </w:tc>
        <w:tc>
          <w:tcPr>
            <w:tcW w:w="2051" w:type="dxa"/>
            <w:vMerge w:val="continue"/>
            <w:vAlign w:val="center"/>
          </w:tcPr>
          <w:p w14:paraId="2B6B2848">
            <w:pPr>
              <w:spacing w:line="360" w:lineRule="auto"/>
              <w:jc w:val="center"/>
              <w:rPr>
                <w:rFonts w:ascii="宋体" w:hAnsi="宋体" w:cs="宋体"/>
                <w:kern w:val="0"/>
                <w:sz w:val="24"/>
              </w:rPr>
            </w:pPr>
          </w:p>
        </w:tc>
        <w:tc>
          <w:tcPr>
            <w:tcW w:w="2061" w:type="dxa"/>
            <w:vAlign w:val="center"/>
          </w:tcPr>
          <w:p w14:paraId="466D5E04">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5436D406">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3B86F618">
            <w:pPr>
              <w:spacing w:line="360" w:lineRule="auto"/>
              <w:jc w:val="center"/>
              <w:rPr>
                <w:rFonts w:ascii="宋体" w:hAnsi="宋体" w:cs="宋体"/>
                <w:kern w:val="0"/>
                <w:sz w:val="24"/>
              </w:rPr>
            </w:pPr>
            <w:r>
              <w:rPr>
                <w:rFonts w:hint="eastAsia" w:ascii="宋体" w:hAnsi="宋体" w:cs="宋体"/>
                <w:sz w:val="24"/>
              </w:rPr>
              <w:t>80.36%</w:t>
            </w:r>
          </w:p>
        </w:tc>
        <w:tc>
          <w:tcPr>
            <w:tcW w:w="1866" w:type="dxa"/>
            <w:vAlign w:val="center"/>
          </w:tcPr>
          <w:p w14:paraId="0D18FFF0">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76FC11AC">
            <w:pPr>
              <w:spacing w:line="360" w:lineRule="auto"/>
              <w:jc w:val="center"/>
              <w:rPr>
                <w:rFonts w:ascii="宋体" w:hAnsi="宋体" w:cs="宋体"/>
                <w:kern w:val="0"/>
                <w:sz w:val="24"/>
              </w:rPr>
            </w:pPr>
            <w:r>
              <w:rPr>
                <w:rFonts w:hint="eastAsia" w:ascii="宋体" w:hAnsi="宋体" w:cs="宋体"/>
                <w:sz w:val="24"/>
              </w:rPr>
              <w:t>-19.64%</w:t>
            </w:r>
          </w:p>
        </w:tc>
        <w:tc>
          <w:tcPr>
            <w:tcW w:w="1071" w:type="dxa"/>
          </w:tcPr>
          <w:p w14:paraId="1EEB2C9E">
            <w:pPr>
              <w:spacing w:line="360" w:lineRule="auto"/>
              <w:rPr>
                <w:rFonts w:ascii="宋体" w:hAnsi="宋体" w:cs="宋体"/>
                <w:kern w:val="0"/>
                <w:sz w:val="22"/>
              </w:rPr>
            </w:pPr>
            <w:r>
              <w:rPr>
                <w:rFonts w:hint="eastAsia" w:ascii="宋体" w:hAnsi="宋体" w:cs="宋体"/>
                <w:sz w:val="24"/>
              </w:rPr>
              <w:t>因节约开支办公经费支出低于年初预算数</w:t>
            </w:r>
          </w:p>
        </w:tc>
      </w:tr>
      <w:tr w14:paraId="5A8F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D2F12C">
            <w:pPr>
              <w:spacing w:line="360" w:lineRule="auto"/>
              <w:jc w:val="center"/>
              <w:rPr>
                <w:rFonts w:ascii="宋体" w:hAnsi="宋体" w:cs="宋体"/>
                <w:kern w:val="0"/>
                <w:sz w:val="24"/>
              </w:rPr>
            </w:pPr>
          </w:p>
        </w:tc>
        <w:tc>
          <w:tcPr>
            <w:tcW w:w="2051" w:type="dxa"/>
            <w:vMerge w:val="continue"/>
            <w:vAlign w:val="center"/>
          </w:tcPr>
          <w:p w14:paraId="4E31E6DA">
            <w:pPr>
              <w:spacing w:line="360" w:lineRule="auto"/>
              <w:jc w:val="center"/>
              <w:rPr>
                <w:rFonts w:ascii="宋体" w:hAnsi="宋体" w:cs="宋体"/>
                <w:kern w:val="0"/>
                <w:sz w:val="24"/>
              </w:rPr>
            </w:pPr>
          </w:p>
        </w:tc>
        <w:tc>
          <w:tcPr>
            <w:tcW w:w="2061" w:type="dxa"/>
            <w:vAlign w:val="center"/>
          </w:tcPr>
          <w:p w14:paraId="015CF7F3">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3B038A34">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D6C522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09FAEE1">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2BF30B1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7E74AAA">
            <w:pPr>
              <w:spacing w:line="360" w:lineRule="auto"/>
              <w:rPr>
                <w:rFonts w:ascii="宋体" w:hAnsi="宋体" w:cs="宋体"/>
                <w:kern w:val="0"/>
                <w:sz w:val="22"/>
              </w:rPr>
            </w:pPr>
          </w:p>
        </w:tc>
      </w:tr>
      <w:tr w14:paraId="5408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F96AFFE">
            <w:pPr>
              <w:spacing w:line="360" w:lineRule="auto"/>
              <w:jc w:val="center"/>
              <w:rPr>
                <w:rFonts w:ascii="宋体" w:hAnsi="宋体" w:cs="宋体"/>
                <w:kern w:val="0"/>
                <w:sz w:val="24"/>
              </w:rPr>
            </w:pPr>
          </w:p>
        </w:tc>
        <w:tc>
          <w:tcPr>
            <w:tcW w:w="2051" w:type="dxa"/>
            <w:vMerge w:val="continue"/>
            <w:vAlign w:val="center"/>
          </w:tcPr>
          <w:p w14:paraId="64FB4DAB">
            <w:pPr>
              <w:spacing w:line="360" w:lineRule="auto"/>
              <w:jc w:val="center"/>
              <w:rPr>
                <w:rFonts w:ascii="宋体" w:hAnsi="宋体" w:cs="宋体"/>
                <w:kern w:val="0"/>
                <w:sz w:val="24"/>
              </w:rPr>
            </w:pPr>
          </w:p>
        </w:tc>
        <w:tc>
          <w:tcPr>
            <w:tcW w:w="2061" w:type="dxa"/>
            <w:vAlign w:val="center"/>
          </w:tcPr>
          <w:p w14:paraId="4EAEBB32">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63E0FA2C">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3665044">
            <w:pPr>
              <w:spacing w:line="360" w:lineRule="auto"/>
              <w:jc w:val="center"/>
              <w:rPr>
                <w:rFonts w:ascii="宋体" w:hAnsi="宋体" w:cs="宋体"/>
                <w:kern w:val="0"/>
                <w:sz w:val="24"/>
              </w:rPr>
            </w:pPr>
            <w:r>
              <w:rPr>
                <w:rFonts w:hint="eastAsia" w:ascii="宋体" w:hAnsi="宋体" w:cs="宋体"/>
                <w:sz w:val="24"/>
              </w:rPr>
              <w:t>98.41%</w:t>
            </w:r>
          </w:p>
        </w:tc>
        <w:tc>
          <w:tcPr>
            <w:tcW w:w="1866" w:type="dxa"/>
            <w:vAlign w:val="center"/>
          </w:tcPr>
          <w:p w14:paraId="1D510F6E">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0AECA098">
            <w:pPr>
              <w:spacing w:line="360" w:lineRule="auto"/>
              <w:jc w:val="center"/>
              <w:rPr>
                <w:rFonts w:ascii="宋体" w:hAnsi="宋体" w:cs="宋体"/>
                <w:kern w:val="0"/>
                <w:sz w:val="24"/>
              </w:rPr>
            </w:pPr>
            <w:r>
              <w:rPr>
                <w:rFonts w:hint="eastAsia" w:ascii="宋体" w:hAnsi="宋体" w:cs="宋体"/>
                <w:sz w:val="24"/>
              </w:rPr>
              <w:t>-1.59%</w:t>
            </w:r>
          </w:p>
        </w:tc>
        <w:tc>
          <w:tcPr>
            <w:tcW w:w="1071" w:type="dxa"/>
          </w:tcPr>
          <w:p w14:paraId="575F497E">
            <w:pPr>
              <w:spacing w:line="360" w:lineRule="auto"/>
              <w:rPr>
                <w:rFonts w:ascii="宋体" w:hAnsi="宋体" w:cs="宋体"/>
                <w:kern w:val="0"/>
                <w:sz w:val="22"/>
              </w:rPr>
            </w:pPr>
            <w:r>
              <w:rPr>
                <w:rFonts w:hint="eastAsia" w:ascii="宋体" w:hAnsi="宋体" w:cs="宋体"/>
                <w:sz w:val="24"/>
              </w:rPr>
              <w:t>政府采购实际中标金额低于预算金额</w:t>
            </w:r>
          </w:p>
        </w:tc>
      </w:tr>
      <w:tr w14:paraId="1C18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F4BCE6">
            <w:pPr>
              <w:spacing w:line="360" w:lineRule="auto"/>
              <w:jc w:val="center"/>
              <w:rPr>
                <w:rFonts w:ascii="宋体" w:hAnsi="宋体" w:cs="宋体"/>
                <w:kern w:val="0"/>
                <w:sz w:val="24"/>
              </w:rPr>
            </w:pPr>
          </w:p>
        </w:tc>
        <w:tc>
          <w:tcPr>
            <w:tcW w:w="2051" w:type="dxa"/>
            <w:vMerge w:val="continue"/>
            <w:vAlign w:val="center"/>
          </w:tcPr>
          <w:p w14:paraId="3C755F00">
            <w:pPr>
              <w:spacing w:line="360" w:lineRule="auto"/>
              <w:jc w:val="center"/>
              <w:rPr>
                <w:rFonts w:ascii="宋体" w:hAnsi="宋体" w:cs="宋体"/>
                <w:kern w:val="0"/>
                <w:sz w:val="24"/>
              </w:rPr>
            </w:pPr>
          </w:p>
        </w:tc>
        <w:tc>
          <w:tcPr>
            <w:tcW w:w="2061" w:type="dxa"/>
            <w:vAlign w:val="center"/>
          </w:tcPr>
          <w:p w14:paraId="249356E7">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0C08EAC4">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678DA8E2">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30E68D55">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BA44AA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54D68AC">
            <w:pPr>
              <w:spacing w:line="360" w:lineRule="auto"/>
              <w:rPr>
                <w:rFonts w:ascii="宋体" w:hAnsi="宋体" w:cs="宋体"/>
                <w:kern w:val="0"/>
                <w:sz w:val="22"/>
              </w:rPr>
            </w:pPr>
          </w:p>
        </w:tc>
      </w:tr>
      <w:tr w14:paraId="79A0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4583CB2">
            <w:pPr>
              <w:spacing w:line="360" w:lineRule="auto"/>
              <w:jc w:val="center"/>
              <w:rPr>
                <w:rFonts w:ascii="宋体" w:hAnsi="宋体" w:cs="宋体"/>
                <w:kern w:val="0"/>
                <w:sz w:val="24"/>
              </w:rPr>
            </w:pPr>
          </w:p>
        </w:tc>
        <w:tc>
          <w:tcPr>
            <w:tcW w:w="2051" w:type="dxa"/>
            <w:vMerge w:val="continue"/>
            <w:vAlign w:val="center"/>
          </w:tcPr>
          <w:p w14:paraId="2A5FB17F">
            <w:pPr>
              <w:spacing w:line="360" w:lineRule="auto"/>
              <w:jc w:val="center"/>
              <w:rPr>
                <w:rFonts w:ascii="宋体" w:hAnsi="宋体" w:cs="宋体"/>
                <w:kern w:val="0"/>
                <w:sz w:val="24"/>
              </w:rPr>
            </w:pPr>
          </w:p>
        </w:tc>
        <w:tc>
          <w:tcPr>
            <w:tcW w:w="2061" w:type="dxa"/>
            <w:vAlign w:val="center"/>
          </w:tcPr>
          <w:p w14:paraId="5A28B5AA">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435A8B39">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5B548313">
            <w:pPr>
              <w:spacing w:line="360" w:lineRule="auto"/>
              <w:jc w:val="center"/>
              <w:rPr>
                <w:rFonts w:ascii="宋体" w:hAnsi="宋体" w:cs="宋体"/>
                <w:kern w:val="0"/>
                <w:sz w:val="24"/>
              </w:rPr>
            </w:pPr>
            <w:r>
              <w:rPr>
                <w:rFonts w:hint="eastAsia" w:ascii="宋体" w:hAnsi="宋体" w:cs="宋体"/>
                <w:sz w:val="24"/>
              </w:rPr>
              <w:t>96.31%</w:t>
            </w:r>
          </w:p>
        </w:tc>
        <w:tc>
          <w:tcPr>
            <w:tcW w:w="1866" w:type="dxa"/>
            <w:vAlign w:val="center"/>
          </w:tcPr>
          <w:p w14:paraId="028BA828">
            <w:pPr>
              <w:spacing w:line="360" w:lineRule="auto"/>
              <w:jc w:val="center"/>
              <w:rPr>
                <w:rFonts w:ascii="宋体" w:hAnsi="宋体" w:cs="宋体"/>
                <w:kern w:val="0"/>
                <w:sz w:val="24"/>
              </w:rPr>
            </w:pPr>
            <w:r>
              <w:rPr>
                <w:rFonts w:hint="eastAsia" w:ascii="宋体" w:hAnsi="宋体" w:cs="宋体"/>
                <w:sz w:val="24"/>
              </w:rPr>
              <w:t>2025年部门决算</w:t>
            </w:r>
          </w:p>
        </w:tc>
        <w:tc>
          <w:tcPr>
            <w:tcW w:w="1787" w:type="dxa"/>
            <w:vAlign w:val="center"/>
          </w:tcPr>
          <w:p w14:paraId="51B9C0CF">
            <w:pPr>
              <w:spacing w:line="360" w:lineRule="auto"/>
              <w:jc w:val="center"/>
              <w:rPr>
                <w:rFonts w:ascii="宋体" w:hAnsi="宋体" w:cs="宋体"/>
                <w:kern w:val="0"/>
                <w:sz w:val="24"/>
              </w:rPr>
            </w:pPr>
            <w:r>
              <w:rPr>
                <w:rFonts w:hint="eastAsia" w:ascii="宋体" w:hAnsi="宋体" w:cs="宋体"/>
                <w:sz w:val="24"/>
              </w:rPr>
              <w:t>-3.69%</w:t>
            </w:r>
          </w:p>
        </w:tc>
        <w:tc>
          <w:tcPr>
            <w:tcW w:w="1071" w:type="dxa"/>
          </w:tcPr>
          <w:p w14:paraId="65488279">
            <w:pPr>
              <w:spacing w:line="360" w:lineRule="auto"/>
              <w:rPr>
                <w:rFonts w:ascii="宋体" w:hAnsi="宋体" w:cs="宋体"/>
                <w:kern w:val="0"/>
                <w:sz w:val="22"/>
              </w:rPr>
            </w:pPr>
            <w:r>
              <w:rPr>
                <w:rFonts w:hint="eastAsia" w:ascii="宋体" w:hAnsi="宋体" w:cs="宋体"/>
                <w:sz w:val="24"/>
              </w:rPr>
              <w:t>年末专项补助资金结余39.68万元导致预算执行数低于调整预算数</w:t>
            </w:r>
          </w:p>
        </w:tc>
      </w:tr>
      <w:tr w14:paraId="6396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9303EF8">
            <w:pPr>
              <w:spacing w:line="360" w:lineRule="auto"/>
              <w:jc w:val="center"/>
              <w:rPr>
                <w:rFonts w:ascii="宋体" w:hAnsi="宋体" w:cs="宋体"/>
                <w:kern w:val="0"/>
                <w:sz w:val="24"/>
              </w:rPr>
            </w:pPr>
          </w:p>
        </w:tc>
        <w:tc>
          <w:tcPr>
            <w:tcW w:w="2051" w:type="dxa"/>
            <w:vMerge w:val="restart"/>
            <w:vAlign w:val="center"/>
          </w:tcPr>
          <w:p w14:paraId="5F2F218F">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6D2F29DB">
            <w:pPr>
              <w:spacing w:line="360" w:lineRule="auto"/>
              <w:jc w:val="center"/>
              <w:rPr>
                <w:rFonts w:ascii="宋体" w:hAnsi="宋体" w:cs="宋体"/>
                <w:kern w:val="0"/>
                <w:sz w:val="24"/>
              </w:rPr>
            </w:pPr>
            <w:r>
              <w:rPr>
                <w:rFonts w:hint="eastAsia" w:ascii="宋体" w:hAnsi="宋体" w:cs="宋体"/>
                <w:sz w:val="24"/>
              </w:rPr>
              <w:t>维护无线电通讯秩序</w:t>
            </w:r>
          </w:p>
        </w:tc>
        <w:tc>
          <w:tcPr>
            <w:tcW w:w="1987" w:type="dxa"/>
            <w:vAlign w:val="center"/>
          </w:tcPr>
          <w:p w14:paraId="13BE6DF0">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12AC11A3">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4C1DDCB">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810A03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08782F2">
            <w:pPr>
              <w:spacing w:line="360" w:lineRule="auto"/>
              <w:rPr>
                <w:rFonts w:ascii="宋体" w:hAnsi="宋体" w:cs="宋体"/>
                <w:kern w:val="0"/>
                <w:sz w:val="22"/>
              </w:rPr>
            </w:pPr>
          </w:p>
        </w:tc>
      </w:tr>
      <w:tr w14:paraId="7E16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E72B222">
            <w:pPr>
              <w:spacing w:line="360" w:lineRule="auto"/>
              <w:jc w:val="center"/>
              <w:rPr>
                <w:rFonts w:ascii="宋体" w:hAnsi="宋体" w:cs="宋体"/>
                <w:kern w:val="0"/>
                <w:sz w:val="24"/>
              </w:rPr>
            </w:pPr>
          </w:p>
        </w:tc>
        <w:tc>
          <w:tcPr>
            <w:tcW w:w="2051" w:type="dxa"/>
            <w:vMerge w:val="continue"/>
            <w:vAlign w:val="center"/>
          </w:tcPr>
          <w:p w14:paraId="26E6CE7A">
            <w:pPr>
              <w:spacing w:line="360" w:lineRule="auto"/>
              <w:jc w:val="center"/>
              <w:rPr>
                <w:rFonts w:ascii="宋体" w:hAnsi="宋体" w:cs="宋体"/>
                <w:kern w:val="0"/>
                <w:sz w:val="24"/>
              </w:rPr>
            </w:pPr>
          </w:p>
        </w:tc>
        <w:tc>
          <w:tcPr>
            <w:tcW w:w="2061" w:type="dxa"/>
            <w:vAlign w:val="center"/>
          </w:tcPr>
          <w:p w14:paraId="503E072D">
            <w:pPr>
              <w:spacing w:line="360" w:lineRule="auto"/>
              <w:jc w:val="center"/>
              <w:rPr>
                <w:rFonts w:ascii="宋体" w:hAnsi="宋体" w:cs="宋体"/>
                <w:kern w:val="0"/>
                <w:sz w:val="24"/>
              </w:rPr>
            </w:pPr>
            <w:r>
              <w:rPr>
                <w:rFonts w:hint="eastAsia" w:ascii="宋体" w:hAnsi="宋体" w:cs="宋体"/>
                <w:sz w:val="24"/>
              </w:rPr>
              <w:t>保障管理机构频率占用费征收</w:t>
            </w:r>
          </w:p>
        </w:tc>
        <w:tc>
          <w:tcPr>
            <w:tcW w:w="1987" w:type="dxa"/>
            <w:vAlign w:val="center"/>
          </w:tcPr>
          <w:p w14:paraId="5C2BE347">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1C7007A5">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53795A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0059420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C4A9385">
            <w:pPr>
              <w:spacing w:line="360" w:lineRule="auto"/>
              <w:rPr>
                <w:rFonts w:ascii="宋体" w:hAnsi="宋体" w:cs="宋体"/>
                <w:kern w:val="0"/>
                <w:sz w:val="22"/>
              </w:rPr>
            </w:pPr>
          </w:p>
        </w:tc>
      </w:tr>
      <w:tr w14:paraId="0A04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C6ADEA4">
            <w:pPr>
              <w:spacing w:line="360" w:lineRule="auto"/>
              <w:jc w:val="center"/>
              <w:rPr>
                <w:rFonts w:ascii="宋体" w:hAnsi="宋体" w:cs="宋体"/>
                <w:kern w:val="0"/>
                <w:sz w:val="24"/>
              </w:rPr>
            </w:pPr>
          </w:p>
        </w:tc>
        <w:tc>
          <w:tcPr>
            <w:tcW w:w="2051" w:type="dxa"/>
            <w:vMerge w:val="continue"/>
            <w:vAlign w:val="center"/>
          </w:tcPr>
          <w:p w14:paraId="6BC6BD76">
            <w:pPr>
              <w:spacing w:line="360" w:lineRule="auto"/>
              <w:jc w:val="center"/>
              <w:rPr>
                <w:rFonts w:ascii="宋体" w:hAnsi="宋体" w:cs="宋体"/>
                <w:kern w:val="0"/>
                <w:sz w:val="24"/>
              </w:rPr>
            </w:pPr>
          </w:p>
        </w:tc>
        <w:tc>
          <w:tcPr>
            <w:tcW w:w="2061" w:type="dxa"/>
            <w:vAlign w:val="center"/>
          </w:tcPr>
          <w:p w14:paraId="18AA53E7">
            <w:pPr>
              <w:spacing w:line="360" w:lineRule="auto"/>
              <w:jc w:val="center"/>
              <w:rPr>
                <w:rFonts w:ascii="宋体" w:hAnsi="宋体" w:cs="宋体"/>
                <w:kern w:val="0"/>
                <w:sz w:val="24"/>
              </w:rPr>
            </w:pPr>
            <w:r>
              <w:rPr>
                <w:rFonts w:hint="eastAsia" w:ascii="宋体" w:hAnsi="宋体" w:cs="宋体"/>
                <w:sz w:val="24"/>
              </w:rPr>
              <w:t>保障频谱资源有序利用，持续保障未来更多用频需求</w:t>
            </w:r>
          </w:p>
        </w:tc>
        <w:tc>
          <w:tcPr>
            <w:tcW w:w="1987" w:type="dxa"/>
            <w:vAlign w:val="center"/>
          </w:tcPr>
          <w:p w14:paraId="3335F2BE">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58796E3E">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47CB7937">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4BCEF4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E265C89">
            <w:pPr>
              <w:spacing w:line="360" w:lineRule="auto"/>
              <w:rPr>
                <w:rFonts w:ascii="宋体" w:hAnsi="宋体" w:cs="宋体"/>
                <w:kern w:val="0"/>
                <w:sz w:val="22"/>
              </w:rPr>
            </w:pPr>
          </w:p>
        </w:tc>
      </w:tr>
      <w:tr w14:paraId="6A9F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856A916">
            <w:pPr>
              <w:spacing w:line="360" w:lineRule="auto"/>
              <w:jc w:val="center"/>
              <w:rPr>
                <w:rFonts w:ascii="宋体" w:hAnsi="宋体" w:cs="宋体"/>
                <w:kern w:val="0"/>
                <w:sz w:val="24"/>
              </w:rPr>
            </w:pPr>
          </w:p>
        </w:tc>
        <w:tc>
          <w:tcPr>
            <w:tcW w:w="2051" w:type="dxa"/>
            <w:vAlign w:val="center"/>
          </w:tcPr>
          <w:p w14:paraId="3087E3AE">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14:paraId="544FCB67">
            <w:pPr>
              <w:spacing w:line="360" w:lineRule="auto"/>
              <w:jc w:val="center"/>
              <w:rPr>
                <w:rFonts w:ascii="宋体" w:hAnsi="宋体" w:cs="宋体"/>
                <w:kern w:val="0"/>
                <w:sz w:val="24"/>
              </w:rPr>
            </w:pPr>
            <w:r>
              <w:rPr>
                <w:rFonts w:hint="eastAsia" w:ascii="宋体" w:hAnsi="宋体" w:cs="宋体"/>
                <w:sz w:val="24"/>
              </w:rPr>
              <w:t>服务对象调查问卷满意度统计</w:t>
            </w:r>
          </w:p>
        </w:tc>
        <w:tc>
          <w:tcPr>
            <w:tcW w:w="1987" w:type="dxa"/>
            <w:vAlign w:val="center"/>
          </w:tcPr>
          <w:p w14:paraId="6F175CD3">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4458CA2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0809938">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62D6A38">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720FA85E">
            <w:pPr>
              <w:spacing w:line="360" w:lineRule="auto"/>
              <w:rPr>
                <w:rFonts w:ascii="宋体" w:hAnsi="宋体" w:cs="宋体"/>
                <w:kern w:val="0"/>
                <w:sz w:val="22"/>
              </w:rPr>
            </w:pPr>
            <w:r>
              <w:rPr>
                <w:rFonts w:hint="eastAsia" w:ascii="宋体" w:hAnsi="宋体" w:cs="宋体"/>
                <w:sz w:val="24"/>
              </w:rPr>
              <w:t>未出现服务对象不满意的情况。</w:t>
            </w:r>
          </w:p>
        </w:tc>
      </w:tr>
      <w:tr w14:paraId="457B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EFE1ED7">
            <w:pPr>
              <w:spacing w:line="360" w:lineRule="auto"/>
              <w:jc w:val="center"/>
              <w:rPr>
                <w:rFonts w:ascii="宋体" w:hAnsi="宋体" w:cs="宋体"/>
                <w:kern w:val="0"/>
                <w:sz w:val="24"/>
              </w:rPr>
            </w:pPr>
          </w:p>
        </w:tc>
        <w:tc>
          <w:tcPr>
            <w:tcW w:w="2051" w:type="dxa"/>
            <w:vMerge w:val="restart"/>
            <w:vAlign w:val="center"/>
          </w:tcPr>
          <w:p w14:paraId="62E3DE04">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1902E4A9">
            <w:pPr>
              <w:spacing w:line="360" w:lineRule="auto"/>
              <w:jc w:val="center"/>
              <w:rPr>
                <w:rFonts w:ascii="宋体" w:hAnsi="宋体" w:cs="宋体"/>
                <w:kern w:val="0"/>
                <w:sz w:val="24"/>
              </w:rPr>
            </w:pPr>
            <w:r>
              <w:rPr>
                <w:rFonts w:hint="eastAsia" w:ascii="宋体" w:hAnsi="宋体" w:cs="宋体"/>
                <w:sz w:val="24"/>
              </w:rPr>
              <w:t>监测设备完好率</w:t>
            </w:r>
          </w:p>
        </w:tc>
        <w:tc>
          <w:tcPr>
            <w:tcW w:w="1987" w:type="dxa"/>
            <w:vAlign w:val="center"/>
          </w:tcPr>
          <w:p w14:paraId="2F9FB2A5">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2D14BE9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AE0520B">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9CDC353">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54E7A6B0">
            <w:pPr>
              <w:spacing w:line="360" w:lineRule="auto"/>
              <w:rPr>
                <w:rFonts w:ascii="宋体" w:hAnsi="宋体" w:cs="宋体"/>
                <w:kern w:val="0"/>
                <w:sz w:val="22"/>
              </w:rPr>
            </w:pPr>
            <w:r>
              <w:rPr>
                <w:rFonts w:hint="eastAsia" w:ascii="宋体" w:hAnsi="宋体" w:cs="宋体"/>
                <w:sz w:val="24"/>
              </w:rPr>
              <w:t>全年设备故障均及时处理修复，未出现因供应链问题导致的维修迟滞。</w:t>
            </w:r>
          </w:p>
        </w:tc>
      </w:tr>
      <w:tr w14:paraId="44F6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5EB94D">
            <w:pPr>
              <w:spacing w:line="360" w:lineRule="auto"/>
              <w:jc w:val="center"/>
              <w:rPr>
                <w:rFonts w:ascii="宋体" w:hAnsi="宋体" w:cs="宋体"/>
                <w:kern w:val="0"/>
                <w:sz w:val="24"/>
              </w:rPr>
            </w:pPr>
          </w:p>
        </w:tc>
        <w:tc>
          <w:tcPr>
            <w:tcW w:w="2051" w:type="dxa"/>
            <w:vMerge w:val="continue"/>
            <w:vAlign w:val="center"/>
          </w:tcPr>
          <w:p w14:paraId="300FEE8A">
            <w:pPr>
              <w:spacing w:line="360" w:lineRule="auto"/>
              <w:jc w:val="center"/>
              <w:rPr>
                <w:rFonts w:ascii="宋体" w:hAnsi="宋体" w:cs="宋体"/>
                <w:kern w:val="0"/>
                <w:sz w:val="24"/>
              </w:rPr>
            </w:pPr>
          </w:p>
        </w:tc>
        <w:tc>
          <w:tcPr>
            <w:tcW w:w="2061" w:type="dxa"/>
            <w:vAlign w:val="center"/>
          </w:tcPr>
          <w:p w14:paraId="366794F3">
            <w:pPr>
              <w:spacing w:line="360" w:lineRule="auto"/>
              <w:jc w:val="center"/>
              <w:rPr>
                <w:rFonts w:ascii="宋体" w:hAnsi="宋体" w:cs="宋体"/>
                <w:kern w:val="0"/>
                <w:sz w:val="24"/>
              </w:rPr>
            </w:pPr>
            <w:r>
              <w:rPr>
                <w:rFonts w:hint="eastAsia" w:ascii="宋体" w:hAnsi="宋体" w:cs="宋体"/>
                <w:sz w:val="24"/>
              </w:rPr>
              <w:t>监测信息化平台接入率</w:t>
            </w:r>
          </w:p>
        </w:tc>
        <w:tc>
          <w:tcPr>
            <w:tcW w:w="1987" w:type="dxa"/>
            <w:vAlign w:val="center"/>
          </w:tcPr>
          <w:p w14:paraId="7B53D729">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14:paraId="6896082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3F23984">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5B5D4241">
            <w:pPr>
              <w:spacing w:line="360" w:lineRule="auto"/>
              <w:jc w:val="center"/>
              <w:rPr>
                <w:rFonts w:ascii="宋体" w:hAnsi="宋体" w:cs="宋体"/>
                <w:kern w:val="0"/>
                <w:sz w:val="24"/>
              </w:rPr>
            </w:pPr>
            <w:r>
              <w:rPr>
                <w:rFonts w:hint="eastAsia" w:ascii="宋体" w:hAnsi="宋体" w:cs="宋体"/>
                <w:sz w:val="24"/>
              </w:rPr>
              <w:t>11.11%</w:t>
            </w:r>
          </w:p>
        </w:tc>
        <w:tc>
          <w:tcPr>
            <w:tcW w:w="1071" w:type="dxa"/>
          </w:tcPr>
          <w:p w14:paraId="49EAE355">
            <w:pPr>
              <w:spacing w:line="360" w:lineRule="auto"/>
              <w:rPr>
                <w:rFonts w:ascii="宋体" w:hAnsi="宋体" w:cs="宋体"/>
                <w:kern w:val="0"/>
                <w:sz w:val="22"/>
              </w:rPr>
            </w:pPr>
            <w:r>
              <w:rPr>
                <w:rFonts w:hint="eastAsia" w:ascii="宋体" w:hAnsi="宋体" w:cs="宋体"/>
                <w:sz w:val="24"/>
              </w:rPr>
              <w:t>新建设施在建设完成后顺利接入了平台，未出现空窗期。</w:t>
            </w:r>
          </w:p>
        </w:tc>
      </w:tr>
      <w:tr w14:paraId="109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23408E">
            <w:pPr>
              <w:spacing w:line="360" w:lineRule="auto"/>
              <w:jc w:val="center"/>
              <w:rPr>
                <w:rFonts w:ascii="宋体" w:hAnsi="宋体" w:cs="宋体"/>
                <w:kern w:val="0"/>
                <w:sz w:val="24"/>
              </w:rPr>
            </w:pPr>
          </w:p>
        </w:tc>
        <w:tc>
          <w:tcPr>
            <w:tcW w:w="2051" w:type="dxa"/>
            <w:vMerge w:val="continue"/>
            <w:vAlign w:val="center"/>
          </w:tcPr>
          <w:p w14:paraId="71FEB8D6">
            <w:pPr>
              <w:spacing w:line="360" w:lineRule="auto"/>
              <w:jc w:val="center"/>
              <w:rPr>
                <w:rFonts w:ascii="宋体" w:hAnsi="宋体" w:cs="宋体"/>
                <w:kern w:val="0"/>
                <w:sz w:val="24"/>
              </w:rPr>
            </w:pPr>
          </w:p>
        </w:tc>
        <w:tc>
          <w:tcPr>
            <w:tcW w:w="2061" w:type="dxa"/>
            <w:vAlign w:val="center"/>
          </w:tcPr>
          <w:p w14:paraId="31C7F114">
            <w:pPr>
              <w:spacing w:line="360" w:lineRule="auto"/>
              <w:jc w:val="center"/>
              <w:rPr>
                <w:rFonts w:ascii="宋体" w:hAnsi="宋体" w:cs="宋体"/>
                <w:kern w:val="0"/>
                <w:sz w:val="24"/>
              </w:rPr>
            </w:pPr>
            <w:r>
              <w:rPr>
                <w:rFonts w:hint="eastAsia" w:ascii="宋体" w:hAnsi="宋体" w:cs="宋体"/>
                <w:sz w:val="24"/>
              </w:rPr>
              <w:t>开展打击“黑广播、伪基站、电信诈骗设备”专项监测</w:t>
            </w:r>
          </w:p>
        </w:tc>
        <w:tc>
          <w:tcPr>
            <w:tcW w:w="1987" w:type="dxa"/>
            <w:vAlign w:val="center"/>
          </w:tcPr>
          <w:p w14:paraId="4F56A1BC">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23BF2900">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6A618AF9">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7579F61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EDAD905">
            <w:pPr>
              <w:spacing w:line="360" w:lineRule="auto"/>
              <w:rPr>
                <w:rFonts w:ascii="宋体" w:hAnsi="宋体" w:cs="宋体"/>
                <w:kern w:val="0"/>
                <w:sz w:val="22"/>
              </w:rPr>
            </w:pPr>
          </w:p>
        </w:tc>
      </w:tr>
      <w:tr w14:paraId="607A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F877002">
            <w:pPr>
              <w:spacing w:line="360" w:lineRule="auto"/>
              <w:jc w:val="center"/>
              <w:rPr>
                <w:rFonts w:ascii="宋体" w:hAnsi="宋体" w:cs="宋体"/>
                <w:kern w:val="0"/>
                <w:sz w:val="24"/>
              </w:rPr>
            </w:pPr>
          </w:p>
        </w:tc>
        <w:tc>
          <w:tcPr>
            <w:tcW w:w="2051" w:type="dxa"/>
            <w:vMerge w:val="continue"/>
            <w:vAlign w:val="center"/>
          </w:tcPr>
          <w:p w14:paraId="15ABE392">
            <w:pPr>
              <w:spacing w:line="360" w:lineRule="auto"/>
              <w:jc w:val="center"/>
              <w:rPr>
                <w:rFonts w:ascii="宋体" w:hAnsi="宋体" w:cs="宋体"/>
                <w:kern w:val="0"/>
                <w:sz w:val="24"/>
              </w:rPr>
            </w:pPr>
          </w:p>
        </w:tc>
        <w:tc>
          <w:tcPr>
            <w:tcW w:w="2061" w:type="dxa"/>
            <w:vAlign w:val="center"/>
          </w:tcPr>
          <w:p w14:paraId="30893B36">
            <w:pPr>
              <w:spacing w:line="360" w:lineRule="auto"/>
              <w:jc w:val="center"/>
              <w:rPr>
                <w:rFonts w:ascii="宋体" w:hAnsi="宋体" w:cs="宋体"/>
                <w:kern w:val="0"/>
                <w:sz w:val="24"/>
              </w:rPr>
            </w:pPr>
            <w:r>
              <w:rPr>
                <w:rFonts w:hint="eastAsia" w:ascii="宋体" w:hAnsi="宋体" w:cs="宋体"/>
                <w:sz w:val="24"/>
              </w:rPr>
              <w:t>在台站许可前对拟许可的台站进行事前检测</w:t>
            </w:r>
          </w:p>
        </w:tc>
        <w:tc>
          <w:tcPr>
            <w:tcW w:w="1987" w:type="dxa"/>
            <w:vAlign w:val="center"/>
          </w:tcPr>
          <w:p w14:paraId="716D9E13">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F2B1FD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88677F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D0D479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F96F43E">
            <w:pPr>
              <w:spacing w:line="360" w:lineRule="auto"/>
              <w:rPr>
                <w:rFonts w:ascii="宋体" w:hAnsi="宋体" w:cs="宋体"/>
                <w:kern w:val="0"/>
                <w:sz w:val="22"/>
              </w:rPr>
            </w:pPr>
          </w:p>
        </w:tc>
      </w:tr>
      <w:tr w14:paraId="2319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A58AADF">
            <w:pPr>
              <w:spacing w:line="360" w:lineRule="auto"/>
              <w:jc w:val="center"/>
              <w:rPr>
                <w:rFonts w:ascii="宋体" w:hAnsi="宋体" w:cs="宋体"/>
                <w:kern w:val="0"/>
                <w:sz w:val="24"/>
              </w:rPr>
            </w:pPr>
          </w:p>
        </w:tc>
        <w:tc>
          <w:tcPr>
            <w:tcW w:w="2051" w:type="dxa"/>
            <w:vMerge w:val="continue"/>
            <w:vAlign w:val="center"/>
          </w:tcPr>
          <w:p w14:paraId="6711A8A6">
            <w:pPr>
              <w:spacing w:line="360" w:lineRule="auto"/>
              <w:jc w:val="center"/>
              <w:rPr>
                <w:rFonts w:ascii="宋体" w:hAnsi="宋体" w:cs="宋体"/>
                <w:kern w:val="0"/>
                <w:sz w:val="24"/>
              </w:rPr>
            </w:pPr>
          </w:p>
        </w:tc>
        <w:tc>
          <w:tcPr>
            <w:tcW w:w="2061" w:type="dxa"/>
            <w:vAlign w:val="center"/>
          </w:tcPr>
          <w:p w14:paraId="73CB365F">
            <w:pPr>
              <w:spacing w:line="360" w:lineRule="auto"/>
              <w:jc w:val="center"/>
              <w:rPr>
                <w:rFonts w:ascii="宋体" w:hAnsi="宋体" w:cs="宋体"/>
                <w:kern w:val="0"/>
                <w:sz w:val="24"/>
              </w:rPr>
            </w:pPr>
            <w:r>
              <w:rPr>
                <w:rFonts w:hint="eastAsia" w:ascii="宋体" w:hAnsi="宋体" w:cs="宋体"/>
                <w:sz w:val="24"/>
              </w:rPr>
              <w:t>每月向上级无线电管理部门报送监测月报、干扰查处月报</w:t>
            </w:r>
          </w:p>
        </w:tc>
        <w:tc>
          <w:tcPr>
            <w:tcW w:w="1987" w:type="dxa"/>
            <w:vAlign w:val="center"/>
          </w:tcPr>
          <w:p w14:paraId="2B48701B">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4DF1AD30">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24D4E8FF">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51C6C4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891F076">
            <w:pPr>
              <w:spacing w:line="360" w:lineRule="auto"/>
              <w:rPr>
                <w:rFonts w:ascii="宋体" w:hAnsi="宋体" w:cs="宋体"/>
                <w:kern w:val="0"/>
                <w:sz w:val="22"/>
              </w:rPr>
            </w:pPr>
          </w:p>
        </w:tc>
      </w:tr>
      <w:tr w14:paraId="171C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0573AD9">
            <w:pPr>
              <w:spacing w:line="360" w:lineRule="auto"/>
              <w:jc w:val="center"/>
              <w:rPr>
                <w:rFonts w:ascii="宋体" w:hAnsi="宋体" w:cs="宋体"/>
                <w:kern w:val="0"/>
                <w:sz w:val="24"/>
              </w:rPr>
            </w:pPr>
          </w:p>
        </w:tc>
        <w:tc>
          <w:tcPr>
            <w:tcW w:w="2051" w:type="dxa"/>
            <w:vMerge w:val="continue"/>
            <w:vAlign w:val="center"/>
          </w:tcPr>
          <w:p w14:paraId="7357E6EA">
            <w:pPr>
              <w:spacing w:line="360" w:lineRule="auto"/>
              <w:jc w:val="center"/>
              <w:rPr>
                <w:rFonts w:ascii="宋体" w:hAnsi="宋体" w:cs="宋体"/>
                <w:kern w:val="0"/>
                <w:sz w:val="24"/>
              </w:rPr>
            </w:pPr>
          </w:p>
        </w:tc>
        <w:tc>
          <w:tcPr>
            <w:tcW w:w="2061" w:type="dxa"/>
            <w:vAlign w:val="center"/>
          </w:tcPr>
          <w:p w14:paraId="6C77C94E">
            <w:pPr>
              <w:spacing w:line="360" w:lineRule="auto"/>
              <w:jc w:val="center"/>
              <w:rPr>
                <w:rFonts w:ascii="宋体" w:hAnsi="宋体" w:cs="宋体"/>
                <w:kern w:val="0"/>
                <w:sz w:val="24"/>
              </w:rPr>
            </w:pPr>
            <w:r>
              <w:rPr>
                <w:rFonts w:hint="eastAsia" w:ascii="宋体" w:hAnsi="宋体" w:cs="宋体"/>
                <w:sz w:val="24"/>
              </w:rPr>
              <w:t>国家和省级组织的重要考试按照上级无线电管理机构要求组织开展保障工作</w:t>
            </w:r>
          </w:p>
        </w:tc>
        <w:tc>
          <w:tcPr>
            <w:tcW w:w="1987" w:type="dxa"/>
            <w:vAlign w:val="center"/>
          </w:tcPr>
          <w:p w14:paraId="3E71034D">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359F2911">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07EF5841">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EBE54B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17A37C3">
            <w:pPr>
              <w:spacing w:line="360" w:lineRule="auto"/>
              <w:rPr>
                <w:rFonts w:ascii="宋体" w:hAnsi="宋体" w:cs="宋体"/>
                <w:kern w:val="0"/>
                <w:sz w:val="22"/>
              </w:rPr>
            </w:pPr>
          </w:p>
        </w:tc>
      </w:tr>
      <w:tr w14:paraId="11A9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B7F2503">
            <w:pPr>
              <w:spacing w:line="360" w:lineRule="auto"/>
              <w:jc w:val="center"/>
              <w:rPr>
                <w:rFonts w:ascii="宋体" w:hAnsi="宋体" w:cs="宋体"/>
                <w:kern w:val="0"/>
                <w:sz w:val="24"/>
              </w:rPr>
            </w:pPr>
          </w:p>
        </w:tc>
        <w:tc>
          <w:tcPr>
            <w:tcW w:w="2051" w:type="dxa"/>
            <w:vMerge w:val="continue"/>
            <w:vAlign w:val="center"/>
          </w:tcPr>
          <w:p w14:paraId="644D137A">
            <w:pPr>
              <w:spacing w:line="360" w:lineRule="auto"/>
              <w:jc w:val="center"/>
              <w:rPr>
                <w:rFonts w:ascii="宋体" w:hAnsi="宋体" w:cs="宋体"/>
                <w:kern w:val="0"/>
                <w:sz w:val="24"/>
              </w:rPr>
            </w:pPr>
          </w:p>
        </w:tc>
        <w:tc>
          <w:tcPr>
            <w:tcW w:w="2061" w:type="dxa"/>
            <w:vAlign w:val="center"/>
          </w:tcPr>
          <w:p w14:paraId="44B2CF11">
            <w:pPr>
              <w:spacing w:line="360" w:lineRule="auto"/>
              <w:jc w:val="center"/>
              <w:rPr>
                <w:rFonts w:ascii="宋体" w:hAnsi="宋体" w:cs="宋体"/>
                <w:kern w:val="0"/>
                <w:sz w:val="24"/>
              </w:rPr>
            </w:pPr>
            <w:r>
              <w:rPr>
                <w:rFonts w:hint="eastAsia" w:ascii="宋体" w:hAnsi="宋体" w:cs="宋体"/>
                <w:sz w:val="24"/>
              </w:rPr>
              <w:t>一类、二类、三类、四类固定监测站平均每月每站监测时长</w:t>
            </w:r>
          </w:p>
        </w:tc>
        <w:tc>
          <w:tcPr>
            <w:tcW w:w="1987" w:type="dxa"/>
            <w:vAlign w:val="center"/>
          </w:tcPr>
          <w:p w14:paraId="199FA699">
            <w:pPr>
              <w:spacing w:line="360" w:lineRule="auto"/>
              <w:jc w:val="center"/>
              <w:rPr>
                <w:rFonts w:ascii="宋体" w:hAnsi="宋体" w:cs="宋体"/>
                <w:kern w:val="0"/>
                <w:sz w:val="24"/>
              </w:rPr>
            </w:pPr>
            <w:r>
              <w:rPr>
                <w:rFonts w:hint="eastAsia" w:ascii="宋体" w:hAnsi="宋体" w:cs="宋体"/>
                <w:sz w:val="24"/>
              </w:rPr>
              <w:t>&gt;=88小时</w:t>
            </w:r>
          </w:p>
        </w:tc>
        <w:tc>
          <w:tcPr>
            <w:tcW w:w="1799" w:type="dxa"/>
            <w:vAlign w:val="center"/>
          </w:tcPr>
          <w:p w14:paraId="06B035DA">
            <w:pPr>
              <w:spacing w:line="360" w:lineRule="auto"/>
              <w:jc w:val="center"/>
              <w:rPr>
                <w:rFonts w:ascii="宋体" w:hAnsi="宋体" w:cs="宋体"/>
                <w:kern w:val="0"/>
                <w:sz w:val="24"/>
              </w:rPr>
            </w:pPr>
            <w:r>
              <w:rPr>
                <w:rFonts w:hint="eastAsia" w:ascii="宋体" w:hAnsi="宋体" w:cs="宋体"/>
                <w:sz w:val="24"/>
              </w:rPr>
              <w:t>100小时</w:t>
            </w:r>
          </w:p>
        </w:tc>
        <w:tc>
          <w:tcPr>
            <w:tcW w:w="1866" w:type="dxa"/>
            <w:vAlign w:val="center"/>
          </w:tcPr>
          <w:p w14:paraId="3E4E07E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66C55639">
            <w:pPr>
              <w:spacing w:line="360" w:lineRule="auto"/>
              <w:jc w:val="center"/>
              <w:rPr>
                <w:rFonts w:ascii="宋体" w:hAnsi="宋体" w:cs="宋体"/>
                <w:kern w:val="0"/>
                <w:sz w:val="24"/>
              </w:rPr>
            </w:pPr>
            <w:r>
              <w:rPr>
                <w:rFonts w:hint="eastAsia" w:ascii="宋体" w:hAnsi="宋体" w:cs="宋体"/>
                <w:sz w:val="24"/>
              </w:rPr>
              <w:t>13.64%</w:t>
            </w:r>
          </w:p>
        </w:tc>
        <w:tc>
          <w:tcPr>
            <w:tcW w:w="1071" w:type="dxa"/>
          </w:tcPr>
          <w:p w14:paraId="78345C27">
            <w:pPr>
              <w:spacing w:line="360" w:lineRule="auto"/>
              <w:rPr>
                <w:rFonts w:ascii="宋体" w:hAnsi="宋体" w:cs="宋体"/>
                <w:kern w:val="0"/>
                <w:sz w:val="22"/>
              </w:rPr>
            </w:pPr>
            <w:r>
              <w:rPr>
                <w:rFonts w:hint="eastAsia" w:ascii="宋体" w:hAnsi="宋体" w:cs="宋体"/>
                <w:sz w:val="24"/>
              </w:rPr>
              <w:t>年度监测任务较多，因此完成的监测时间大于估算时间，原指标是是按照省无线电管理年度工作综合评价细则（2025年）制定的</w:t>
            </w:r>
          </w:p>
        </w:tc>
      </w:tr>
      <w:tr w14:paraId="73A7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FC6F5E6">
            <w:pPr>
              <w:spacing w:line="360" w:lineRule="auto"/>
              <w:jc w:val="center"/>
              <w:rPr>
                <w:rFonts w:ascii="宋体" w:hAnsi="宋体" w:cs="宋体"/>
                <w:kern w:val="0"/>
                <w:sz w:val="24"/>
              </w:rPr>
            </w:pPr>
          </w:p>
        </w:tc>
        <w:tc>
          <w:tcPr>
            <w:tcW w:w="2051" w:type="dxa"/>
            <w:vMerge w:val="continue"/>
            <w:vAlign w:val="center"/>
          </w:tcPr>
          <w:p w14:paraId="7F8EB6E5">
            <w:pPr>
              <w:spacing w:line="360" w:lineRule="auto"/>
              <w:jc w:val="center"/>
              <w:rPr>
                <w:rFonts w:ascii="宋体" w:hAnsi="宋体" w:cs="宋体"/>
                <w:kern w:val="0"/>
                <w:sz w:val="24"/>
              </w:rPr>
            </w:pPr>
          </w:p>
        </w:tc>
        <w:tc>
          <w:tcPr>
            <w:tcW w:w="2061" w:type="dxa"/>
            <w:vAlign w:val="center"/>
          </w:tcPr>
          <w:p w14:paraId="05F709AA">
            <w:pPr>
              <w:spacing w:line="360" w:lineRule="auto"/>
              <w:jc w:val="center"/>
              <w:rPr>
                <w:rFonts w:ascii="宋体" w:hAnsi="宋体" w:cs="宋体"/>
                <w:kern w:val="0"/>
                <w:sz w:val="24"/>
              </w:rPr>
            </w:pPr>
            <w:r>
              <w:rPr>
                <w:rFonts w:hint="eastAsia" w:ascii="宋体" w:hAnsi="宋体" w:cs="宋体"/>
                <w:sz w:val="24"/>
              </w:rPr>
              <w:t>配合行政部门完成上级无线电管理部门下达的在用无线电台（站）监督检查任务的技术指标检查（监督检查数/任务下达数）</w:t>
            </w:r>
          </w:p>
        </w:tc>
        <w:tc>
          <w:tcPr>
            <w:tcW w:w="1987" w:type="dxa"/>
            <w:vAlign w:val="center"/>
          </w:tcPr>
          <w:p w14:paraId="1A3D5B46">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D97774F">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2A73E2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2C0F8F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3041B6F">
            <w:pPr>
              <w:spacing w:line="360" w:lineRule="auto"/>
              <w:rPr>
                <w:rFonts w:ascii="宋体" w:hAnsi="宋体" w:cs="宋体"/>
                <w:kern w:val="0"/>
                <w:sz w:val="22"/>
              </w:rPr>
            </w:pPr>
          </w:p>
        </w:tc>
      </w:tr>
      <w:tr w14:paraId="60D2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148A452">
            <w:pPr>
              <w:spacing w:line="360" w:lineRule="auto"/>
              <w:jc w:val="center"/>
              <w:rPr>
                <w:rFonts w:ascii="宋体" w:hAnsi="宋体" w:cs="宋体"/>
                <w:kern w:val="0"/>
                <w:sz w:val="24"/>
              </w:rPr>
            </w:pPr>
          </w:p>
        </w:tc>
        <w:tc>
          <w:tcPr>
            <w:tcW w:w="2051" w:type="dxa"/>
            <w:vMerge w:val="continue"/>
            <w:vAlign w:val="center"/>
          </w:tcPr>
          <w:p w14:paraId="79BAE1DF">
            <w:pPr>
              <w:spacing w:line="360" w:lineRule="auto"/>
              <w:jc w:val="center"/>
              <w:rPr>
                <w:rFonts w:ascii="宋体" w:hAnsi="宋体" w:cs="宋体"/>
                <w:kern w:val="0"/>
                <w:sz w:val="24"/>
              </w:rPr>
            </w:pPr>
          </w:p>
        </w:tc>
        <w:tc>
          <w:tcPr>
            <w:tcW w:w="2061" w:type="dxa"/>
            <w:vAlign w:val="center"/>
          </w:tcPr>
          <w:p w14:paraId="0DA2B507">
            <w:pPr>
              <w:spacing w:line="360" w:lineRule="auto"/>
              <w:jc w:val="center"/>
              <w:rPr>
                <w:rFonts w:ascii="宋体" w:hAnsi="宋体" w:cs="宋体"/>
                <w:kern w:val="0"/>
                <w:sz w:val="24"/>
              </w:rPr>
            </w:pPr>
            <w:r>
              <w:rPr>
                <w:rFonts w:hint="eastAsia" w:ascii="宋体" w:hAnsi="宋体" w:cs="宋体"/>
                <w:sz w:val="24"/>
              </w:rPr>
              <w:t>配合行政部门完成无线电发射设备“双随机</w:t>
            </w:r>
            <w:r>
              <w:rPr>
                <w:rFonts w:hint="eastAsia" w:ascii="宋体" w:hAnsi="宋体" w:cs="宋体"/>
                <w:sz w:val="24"/>
                <w:lang w:eastAsia="zh-CN"/>
              </w:rPr>
              <w:t>、</w:t>
            </w:r>
            <w:bookmarkStart w:id="0" w:name="_GoBack"/>
            <w:bookmarkEnd w:id="0"/>
            <w:r>
              <w:rPr>
                <w:rFonts w:hint="eastAsia" w:ascii="宋体" w:hAnsi="宋体" w:cs="宋体"/>
                <w:sz w:val="24"/>
              </w:rPr>
              <w:t>一公开”设备抽检任务（监督检查数/任务下达数）</w:t>
            </w:r>
          </w:p>
        </w:tc>
        <w:tc>
          <w:tcPr>
            <w:tcW w:w="1987" w:type="dxa"/>
            <w:vAlign w:val="center"/>
          </w:tcPr>
          <w:p w14:paraId="41AE2398">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3410A1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5375BD0">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55FBCF35">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D93E852">
            <w:pPr>
              <w:spacing w:line="360" w:lineRule="auto"/>
              <w:rPr>
                <w:rFonts w:ascii="宋体" w:hAnsi="宋体" w:cs="宋体"/>
                <w:kern w:val="0"/>
                <w:sz w:val="22"/>
              </w:rPr>
            </w:pPr>
          </w:p>
        </w:tc>
      </w:tr>
      <w:tr w14:paraId="212F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7E6E69">
            <w:pPr>
              <w:spacing w:line="360" w:lineRule="auto"/>
              <w:jc w:val="center"/>
              <w:rPr>
                <w:rFonts w:ascii="宋体" w:hAnsi="宋体" w:cs="宋体"/>
                <w:kern w:val="0"/>
                <w:sz w:val="24"/>
              </w:rPr>
            </w:pPr>
          </w:p>
        </w:tc>
        <w:tc>
          <w:tcPr>
            <w:tcW w:w="2051" w:type="dxa"/>
            <w:vMerge w:val="continue"/>
            <w:vAlign w:val="center"/>
          </w:tcPr>
          <w:p w14:paraId="1712C978">
            <w:pPr>
              <w:spacing w:line="360" w:lineRule="auto"/>
              <w:jc w:val="center"/>
              <w:rPr>
                <w:rFonts w:ascii="宋体" w:hAnsi="宋体" w:cs="宋体"/>
                <w:kern w:val="0"/>
                <w:sz w:val="24"/>
              </w:rPr>
            </w:pPr>
          </w:p>
        </w:tc>
        <w:tc>
          <w:tcPr>
            <w:tcW w:w="2061" w:type="dxa"/>
            <w:vAlign w:val="center"/>
          </w:tcPr>
          <w:p w14:paraId="3BC524AB">
            <w:pPr>
              <w:spacing w:line="360" w:lineRule="auto"/>
              <w:jc w:val="center"/>
              <w:rPr>
                <w:rFonts w:ascii="宋体" w:hAnsi="宋体" w:cs="宋体"/>
                <w:kern w:val="0"/>
                <w:sz w:val="24"/>
              </w:rPr>
            </w:pPr>
            <w:r>
              <w:rPr>
                <w:rFonts w:hint="eastAsia" w:ascii="宋体" w:hAnsi="宋体" w:cs="宋体"/>
                <w:sz w:val="24"/>
              </w:rPr>
              <w:t>配合行政部门完成上级无线电管理部门下达的无线电频率使用监督检查任务的技术指标检查（监督检查数/任务下达数）</w:t>
            </w:r>
          </w:p>
        </w:tc>
        <w:tc>
          <w:tcPr>
            <w:tcW w:w="1987" w:type="dxa"/>
            <w:vAlign w:val="center"/>
          </w:tcPr>
          <w:p w14:paraId="341A902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D27A14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F6AE18D">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605AAFB5">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B590024">
            <w:pPr>
              <w:spacing w:line="360" w:lineRule="auto"/>
              <w:rPr>
                <w:rFonts w:ascii="宋体" w:hAnsi="宋体" w:cs="宋体"/>
                <w:kern w:val="0"/>
                <w:sz w:val="22"/>
              </w:rPr>
            </w:pPr>
          </w:p>
        </w:tc>
      </w:tr>
      <w:tr w14:paraId="062B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E60F25">
            <w:pPr>
              <w:spacing w:line="360" w:lineRule="auto"/>
              <w:jc w:val="center"/>
              <w:rPr>
                <w:rFonts w:ascii="宋体" w:hAnsi="宋体" w:cs="宋体"/>
                <w:kern w:val="0"/>
                <w:sz w:val="24"/>
              </w:rPr>
            </w:pPr>
          </w:p>
        </w:tc>
        <w:tc>
          <w:tcPr>
            <w:tcW w:w="2051" w:type="dxa"/>
            <w:vMerge w:val="continue"/>
            <w:vAlign w:val="center"/>
          </w:tcPr>
          <w:p w14:paraId="2D142648">
            <w:pPr>
              <w:spacing w:line="360" w:lineRule="auto"/>
              <w:jc w:val="center"/>
              <w:rPr>
                <w:rFonts w:ascii="宋体" w:hAnsi="宋体" w:cs="宋体"/>
                <w:kern w:val="0"/>
                <w:sz w:val="24"/>
              </w:rPr>
            </w:pPr>
          </w:p>
        </w:tc>
        <w:tc>
          <w:tcPr>
            <w:tcW w:w="2061" w:type="dxa"/>
            <w:vAlign w:val="center"/>
          </w:tcPr>
          <w:p w14:paraId="238896A3">
            <w:pPr>
              <w:spacing w:line="360" w:lineRule="auto"/>
              <w:jc w:val="center"/>
              <w:rPr>
                <w:rFonts w:ascii="宋体" w:hAnsi="宋体" w:cs="宋体"/>
                <w:kern w:val="0"/>
                <w:sz w:val="24"/>
              </w:rPr>
            </w:pPr>
            <w:r>
              <w:rPr>
                <w:rFonts w:hint="eastAsia" w:ascii="宋体" w:hAnsi="宋体" w:cs="宋体"/>
                <w:sz w:val="24"/>
              </w:rPr>
              <w:t>干扰查处率（已查处干扰数量/全年受理干扰投诉数量）</w:t>
            </w:r>
          </w:p>
        </w:tc>
        <w:tc>
          <w:tcPr>
            <w:tcW w:w="1987" w:type="dxa"/>
            <w:vAlign w:val="center"/>
          </w:tcPr>
          <w:p w14:paraId="34C33B9E">
            <w:pPr>
              <w:spacing w:line="360" w:lineRule="auto"/>
              <w:jc w:val="center"/>
              <w:rPr>
                <w:rFonts w:ascii="宋体" w:hAnsi="宋体" w:cs="宋体"/>
                <w:kern w:val="0"/>
                <w:sz w:val="24"/>
              </w:rPr>
            </w:pPr>
            <w:r>
              <w:rPr>
                <w:rFonts w:hint="eastAsia" w:ascii="宋体" w:hAnsi="宋体" w:cs="宋体"/>
                <w:sz w:val="24"/>
              </w:rPr>
              <w:t>&gt;=80%</w:t>
            </w:r>
          </w:p>
        </w:tc>
        <w:tc>
          <w:tcPr>
            <w:tcW w:w="1799" w:type="dxa"/>
            <w:vAlign w:val="center"/>
          </w:tcPr>
          <w:p w14:paraId="40C3D4A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11DA1C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80B919C">
            <w:pPr>
              <w:spacing w:line="360" w:lineRule="auto"/>
              <w:jc w:val="center"/>
              <w:rPr>
                <w:rFonts w:ascii="宋体" w:hAnsi="宋体" w:cs="宋体"/>
                <w:kern w:val="0"/>
                <w:sz w:val="24"/>
              </w:rPr>
            </w:pPr>
            <w:r>
              <w:rPr>
                <w:rFonts w:hint="eastAsia" w:ascii="宋体" w:hAnsi="宋体" w:cs="宋体"/>
                <w:sz w:val="24"/>
              </w:rPr>
              <w:t>25.00%</w:t>
            </w:r>
          </w:p>
        </w:tc>
        <w:tc>
          <w:tcPr>
            <w:tcW w:w="1071" w:type="dxa"/>
          </w:tcPr>
          <w:p w14:paraId="631C925B">
            <w:pPr>
              <w:spacing w:line="360" w:lineRule="auto"/>
              <w:rPr>
                <w:rFonts w:ascii="宋体" w:hAnsi="宋体" w:cs="宋体"/>
                <w:kern w:val="0"/>
                <w:sz w:val="22"/>
              </w:rPr>
            </w:pPr>
            <w:r>
              <w:rPr>
                <w:rFonts w:hint="eastAsia" w:ascii="宋体" w:hAnsi="宋体" w:cs="宋体"/>
                <w:sz w:val="24"/>
              </w:rPr>
              <w:t>全年干扰均顺利查处，未出现无无法定位查找的干扰。</w:t>
            </w:r>
          </w:p>
        </w:tc>
      </w:tr>
      <w:tr w14:paraId="3BF3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9A78DEA">
            <w:pPr>
              <w:spacing w:line="360" w:lineRule="auto"/>
              <w:jc w:val="center"/>
              <w:rPr>
                <w:rFonts w:ascii="宋体" w:hAnsi="宋体" w:cs="宋体"/>
                <w:kern w:val="0"/>
                <w:sz w:val="24"/>
              </w:rPr>
            </w:pPr>
          </w:p>
        </w:tc>
        <w:tc>
          <w:tcPr>
            <w:tcW w:w="2051" w:type="dxa"/>
            <w:vMerge w:val="continue"/>
            <w:vAlign w:val="center"/>
          </w:tcPr>
          <w:p w14:paraId="2BFBCE76">
            <w:pPr>
              <w:spacing w:line="360" w:lineRule="auto"/>
              <w:jc w:val="center"/>
              <w:rPr>
                <w:rFonts w:ascii="宋体" w:hAnsi="宋体" w:cs="宋体"/>
                <w:kern w:val="0"/>
                <w:sz w:val="24"/>
              </w:rPr>
            </w:pPr>
          </w:p>
        </w:tc>
        <w:tc>
          <w:tcPr>
            <w:tcW w:w="2061" w:type="dxa"/>
            <w:vAlign w:val="center"/>
          </w:tcPr>
          <w:p w14:paraId="2DEE16F5">
            <w:pPr>
              <w:spacing w:line="360" w:lineRule="auto"/>
              <w:jc w:val="center"/>
              <w:rPr>
                <w:rFonts w:ascii="宋体" w:hAnsi="宋体" w:cs="宋体"/>
                <w:kern w:val="0"/>
                <w:sz w:val="24"/>
              </w:rPr>
            </w:pPr>
            <w:r>
              <w:rPr>
                <w:rFonts w:hint="eastAsia" w:ascii="宋体" w:hAnsi="宋体" w:cs="宋体"/>
                <w:sz w:val="24"/>
              </w:rPr>
              <w:t>配合行政部门完成无线电发射设备销售企业销售备案工作的监督检查任务的的技术指标检查（监督检查数/任务下达数）</w:t>
            </w:r>
          </w:p>
        </w:tc>
        <w:tc>
          <w:tcPr>
            <w:tcW w:w="1987" w:type="dxa"/>
            <w:vAlign w:val="center"/>
          </w:tcPr>
          <w:p w14:paraId="36387CA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06F24B5">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B5FE4C9">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0D911C0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B58DAD0">
            <w:pPr>
              <w:spacing w:line="360" w:lineRule="auto"/>
              <w:rPr>
                <w:rFonts w:ascii="宋体" w:hAnsi="宋体" w:cs="宋体"/>
                <w:kern w:val="0"/>
                <w:sz w:val="22"/>
              </w:rPr>
            </w:pPr>
          </w:p>
        </w:tc>
      </w:tr>
      <w:tr w14:paraId="0FFE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6A4CFC">
            <w:pPr>
              <w:spacing w:line="360" w:lineRule="auto"/>
              <w:jc w:val="center"/>
              <w:rPr>
                <w:rFonts w:ascii="宋体" w:hAnsi="宋体" w:cs="宋体"/>
                <w:kern w:val="0"/>
                <w:sz w:val="24"/>
              </w:rPr>
            </w:pPr>
          </w:p>
        </w:tc>
        <w:tc>
          <w:tcPr>
            <w:tcW w:w="2051" w:type="dxa"/>
            <w:vMerge w:val="continue"/>
            <w:vAlign w:val="center"/>
          </w:tcPr>
          <w:p w14:paraId="00ED43CF">
            <w:pPr>
              <w:spacing w:line="360" w:lineRule="auto"/>
              <w:jc w:val="center"/>
              <w:rPr>
                <w:rFonts w:ascii="宋体" w:hAnsi="宋体" w:cs="宋体"/>
                <w:kern w:val="0"/>
                <w:sz w:val="24"/>
              </w:rPr>
            </w:pPr>
          </w:p>
        </w:tc>
        <w:tc>
          <w:tcPr>
            <w:tcW w:w="2061" w:type="dxa"/>
            <w:vAlign w:val="center"/>
          </w:tcPr>
          <w:p w14:paraId="7FFFB6C8">
            <w:pPr>
              <w:spacing w:line="360" w:lineRule="auto"/>
              <w:jc w:val="center"/>
              <w:rPr>
                <w:rFonts w:ascii="宋体" w:hAnsi="宋体" w:cs="宋体"/>
                <w:kern w:val="0"/>
                <w:sz w:val="24"/>
              </w:rPr>
            </w:pPr>
            <w:r>
              <w:rPr>
                <w:rFonts w:hint="eastAsia" w:ascii="宋体" w:hAnsi="宋体" w:cs="宋体"/>
                <w:sz w:val="24"/>
              </w:rPr>
              <w:t>开展元旦、春运、“两会”等重要时期，航空、水上、铁路等重点业务和重要设施安全保障工作</w:t>
            </w:r>
          </w:p>
        </w:tc>
        <w:tc>
          <w:tcPr>
            <w:tcW w:w="1987" w:type="dxa"/>
            <w:vAlign w:val="center"/>
          </w:tcPr>
          <w:p w14:paraId="467B5CBC">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3D262D4D">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219F7DD1">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4789883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D6B141C">
            <w:pPr>
              <w:spacing w:line="360" w:lineRule="auto"/>
              <w:rPr>
                <w:rFonts w:ascii="宋体" w:hAnsi="宋体" w:cs="宋体"/>
                <w:kern w:val="0"/>
                <w:sz w:val="22"/>
              </w:rPr>
            </w:pPr>
          </w:p>
        </w:tc>
      </w:tr>
      <w:tr w14:paraId="2069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909522C">
            <w:pPr>
              <w:spacing w:line="360" w:lineRule="auto"/>
              <w:jc w:val="center"/>
              <w:rPr>
                <w:rFonts w:ascii="宋体" w:hAnsi="宋体" w:cs="宋体"/>
                <w:kern w:val="0"/>
                <w:sz w:val="24"/>
              </w:rPr>
            </w:pPr>
          </w:p>
        </w:tc>
        <w:tc>
          <w:tcPr>
            <w:tcW w:w="2051" w:type="dxa"/>
            <w:vMerge w:val="continue"/>
            <w:vAlign w:val="center"/>
          </w:tcPr>
          <w:p w14:paraId="1C7BFA48">
            <w:pPr>
              <w:spacing w:line="360" w:lineRule="auto"/>
              <w:jc w:val="center"/>
              <w:rPr>
                <w:rFonts w:ascii="宋体" w:hAnsi="宋体" w:cs="宋体"/>
                <w:kern w:val="0"/>
                <w:sz w:val="24"/>
              </w:rPr>
            </w:pPr>
          </w:p>
        </w:tc>
        <w:tc>
          <w:tcPr>
            <w:tcW w:w="2061" w:type="dxa"/>
            <w:vAlign w:val="center"/>
          </w:tcPr>
          <w:p w14:paraId="27E9D75D">
            <w:pPr>
              <w:spacing w:line="360" w:lineRule="auto"/>
              <w:jc w:val="center"/>
              <w:rPr>
                <w:rFonts w:ascii="宋体" w:hAnsi="宋体" w:cs="宋体"/>
                <w:kern w:val="0"/>
                <w:sz w:val="24"/>
              </w:rPr>
            </w:pPr>
            <w:r>
              <w:rPr>
                <w:rFonts w:hint="eastAsia" w:ascii="宋体" w:hAnsi="宋体" w:cs="宋体"/>
                <w:sz w:val="24"/>
              </w:rPr>
              <w:t>查实数量</w:t>
            </w:r>
          </w:p>
        </w:tc>
        <w:tc>
          <w:tcPr>
            <w:tcW w:w="1987" w:type="dxa"/>
            <w:vAlign w:val="center"/>
          </w:tcPr>
          <w:p w14:paraId="1BB3488A">
            <w:pPr>
              <w:spacing w:line="360" w:lineRule="auto"/>
              <w:jc w:val="center"/>
              <w:rPr>
                <w:rFonts w:ascii="宋体" w:hAnsi="宋体" w:cs="宋体"/>
                <w:kern w:val="0"/>
                <w:sz w:val="24"/>
              </w:rPr>
            </w:pPr>
            <w:r>
              <w:rPr>
                <w:rFonts w:hint="eastAsia" w:ascii="宋体" w:hAnsi="宋体" w:cs="宋体"/>
                <w:sz w:val="24"/>
              </w:rPr>
              <w:t>&gt;=12个</w:t>
            </w:r>
          </w:p>
        </w:tc>
        <w:tc>
          <w:tcPr>
            <w:tcW w:w="1799" w:type="dxa"/>
            <w:vAlign w:val="center"/>
          </w:tcPr>
          <w:p w14:paraId="566B6F12">
            <w:pPr>
              <w:spacing w:line="360" w:lineRule="auto"/>
              <w:jc w:val="center"/>
              <w:rPr>
                <w:rFonts w:ascii="宋体" w:hAnsi="宋体" w:cs="宋体"/>
                <w:kern w:val="0"/>
                <w:sz w:val="24"/>
              </w:rPr>
            </w:pPr>
            <w:r>
              <w:rPr>
                <w:rFonts w:hint="eastAsia" w:ascii="宋体" w:hAnsi="宋体" w:cs="宋体"/>
                <w:sz w:val="24"/>
              </w:rPr>
              <w:t>25个</w:t>
            </w:r>
          </w:p>
        </w:tc>
        <w:tc>
          <w:tcPr>
            <w:tcW w:w="1866" w:type="dxa"/>
            <w:vAlign w:val="center"/>
          </w:tcPr>
          <w:p w14:paraId="2058D505">
            <w:pPr>
              <w:spacing w:line="360" w:lineRule="auto"/>
              <w:jc w:val="center"/>
              <w:rPr>
                <w:rFonts w:ascii="宋体" w:hAnsi="宋体" w:cs="宋体"/>
                <w:kern w:val="0"/>
                <w:sz w:val="24"/>
              </w:rPr>
            </w:pPr>
            <w:r>
              <w:rPr>
                <w:rFonts w:hint="eastAsia" w:ascii="宋体" w:hAnsi="宋体" w:cs="宋体"/>
                <w:sz w:val="24"/>
              </w:rPr>
              <w:t>省无线电管理年度工作综合评价（2025年）</w:t>
            </w:r>
            <w:r>
              <w:rPr>
                <w:rFonts w:hint="eastAsia" w:ascii="宋体" w:hAnsi="宋体" w:cs="宋体"/>
                <w:sz w:val="24"/>
              </w:rPr>
              <w:tab/>
            </w:r>
          </w:p>
        </w:tc>
        <w:tc>
          <w:tcPr>
            <w:tcW w:w="1787" w:type="dxa"/>
            <w:vAlign w:val="center"/>
          </w:tcPr>
          <w:p w14:paraId="0F29A656">
            <w:pPr>
              <w:spacing w:line="360" w:lineRule="auto"/>
              <w:jc w:val="center"/>
              <w:rPr>
                <w:rFonts w:ascii="宋体" w:hAnsi="宋体" w:cs="宋体"/>
                <w:kern w:val="0"/>
                <w:sz w:val="24"/>
              </w:rPr>
            </w:pPr>
            <w:r>
              <w:rPr>
                <w:rFonts w:hint="eastAsia" w:ascii="宋体" w:hAnsi="宋体" w:cs="宋体"/>
                <w:sz w:val="24"/>
              </w:rPr>
              <w:t>108.33%</w:t>
            </w:r>
          </w:p>
        </w:tc>
        <w:tc>
          <w:tcPr>
            <w:tcW w:w="1071" w:type="dxa"/>
          </w:tcPr>
          <w:p w14:paraId="393C5A33">
            <w:pPr>
              <w:spacing w:line="360" w:lineRule="auto"/>
              <w:rPr>
                <w:rFonts w:ascii="宋体" w:hAnsi="宋体" w:cs="宋体"/>
                <w:kern w:val="0"/>
                <w:sz w:val="22"/>
              </w:rPr>
            </w:pPr>
            <w:r>
              <w:rPr>
                <w:rFonts w:hint="eastAsia" w:ascii="宋体" w:hAnsi="宋体" w:cs="宋体"/>
                <w:sz w:val="24"/>
              </w:rPr>
              <w:t>干扰投诉量较多，因此比计划多排查了13个干扰。</w:t>
            </w:r>
          </w:p>
        </w:tc>
      </w:tr>
      <w:tr w14:paraId="4F4B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8F7EB1C">
            <w:pPr>
              <w:spacing w:line="360" w:lineRule="auto"/>
              <w:jc w:val="center"/>
              <w:rPr>
                <w:rFonts w:ascii="宋体" w:hAnsi="宋体" w:cs="宋体"/>
                <w:kern w:val="0"/>
                <w:sz w:val="24"/>
              </w:rPr>
            </w:pPr>
          </w:p>
        </w:tc>
        <w:tc>
          <w:tcPr>
            <w:tcW w:w="2051" w:type="dxa"/>
            <w:vMerge w:val="continue"/>
            <w:vAlign w:val="center"/>
          </w:tcPr>
          <w:p w14:paraId="4845444A">
            <w:pPr>
              <w:spacing w:line="360" w:lineRule="auto"/>
              <w:jc w:val="center"/>
              <w:rPr>
                <w:rFonts w:ascii="宋体" w:hAnsi="宋体" w:cs="宋体"/>
                <w:kern w:val="0"/>
                <w:sz w:val="24"/>
              </w:rPr>
            </w:pPr>
          </w:p>
        </w:tc>
        <w:tc>
          <w:tcPr>
            <w:tcW w:w="2061" w:type="dxa"/>
            <w:vAlign w:val="center"/>
          </w:tcPr>
          <w:p w14:paraId="1465E3B1">
            <w:pPr>
              <w:spacing w:line="360" w:lineRule="auto"/>
              <w:jc w:val="center"/>
              <w:rPr>
                <w:rFonts w:ascii="宋体" w:hAnsi="宋体" w:cs="宋体"/>
                <w:kern w:val="0"/>
                <w:sz w:val="24"/>
              </w:rPr>
            </w:pPr>
            <w:r>
              <w:rPr>
                <w:rFonts w:hint="eastAsia" w:ascii="宋体" w:hAnsi="宋体" w:cs="宋体"/>
                <w:sz w:val="24"/>
              </w:rPr>
              <w:t>在频率许可前对拟许可的频率进行事前监测</w:t>
            </w:r>
          </w:p>
        </w:tc>
        <w:tc>
          <w:tcPr>
            <w:tcW w:w="1987" w:type="dxa"/>
            <w:vAlign w:val="center"/>
          </w:tcPr>
          <w:p w14:paraId="1AFAC22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A4EDE67">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44D34F2">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1708B2B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134B7D3">
            <w:pPr>
              <w:spacing w:line="360" w:lineRule="auto"/>
              <w:rPr>
                <w:rFonts w:ascii="宋体" w:hAnsi="宋体" w:cs="宋体"/>
                <w:kern w:val="0"/>
                <w:sz w:val="22"/>
              </w:rPr>
            </w:pPr>
          </w:p>
        </w:tc>
      </w:tr>
      <w:tr w14:paraId="1809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9EBE449">
            <w:pPr>
              <w:spacing w:line="360" w:lineRule="auto"/>
              <w:jc w:val="center"/>
              <w:rPr>
                <w:rFonts w:ascii="宋体" w:hAnsi="宋体" w:cs="宋体"/>
                <w:kern w:val="0"/>
                <w:sz w:val="24"/>
              </w:rPr>
            </w:pPr>
          </w:p>
        </w:tc>
        <w:tc>
          <w:tcPr>
            <w:tcW w:w="2051" w:type="dxa"/>
            <w:vMerge w:val="continue"/>
            <w:vAlign w:val="center"/>
          </w:tcPr>
          <w:p w14:paraId="0C965EC5">
            <w:pPr>
              <w:spacing w:line="360" w:lineRule="auto"/>
              <w:jc w:val="center"/>
              <w:rPr>
                <w:rFonts w:ascii="宋体" w:hAnsi="宋体" w:cs="宋体"/>
                <w:kern w:val="0"/>
                <w:sz w:val="24"/>
              </w:rPr>
            </w:pPr>
          </w:p>
        </w:tc>
        <w:tc>
          <w:tcPr>
            <w:tcW w:w="2061" w:type="dxa"/>
            <w:vAlign w:val="center"/>
          </w:tcPr>
          <w:p w14:paraId="2611D55B">
            <w:pPr>
              <w:spacing w:line="360" w:lineRule="auto"/>
              <w:jc w:val="center"/>
              <w:rPr>
                <w:rFonts w:ascii="宋体" w:hAnsi="宋体" w:cs="宋体"/>
                <w:kern w:val="0"/>
                <w:sz w:val="24"/>
              </w:rPr>
            </w:pPr>
            <w:r>
              <w:rPr>
                <w:rFonts w:hint="eastAsia" w:ascii="宋体" w:hAnsi="宋体" w:cs="宋体"/>
                <w:sz w:val="24"/>
              </w:rPr>
              <w:t>设区市辖区内各县（市）每年移动监测时长</w:t>
            </w:r>
          </w:p>
        </w:tc>
        <w:tc>
          <w:tcPr>
            <w:tcW w:w="1987" w:type="dxa"/>
            <w:vAlign w:val="center"/>
          </w:tcPr>
          <w:p w14:paraId="74717E27">
            <w:pPr>
              <w:spacing w:line="360" w:lineRule="auto"/>
              <w:jc w:val="center"/>
              <w:rPr>
                <w:rFonts w:ascii="宋体" w:hAnsi="宋体" w:cs="宋体"/>
                <w:kern w:val="0"/>
                <w:sz w:val="24"/>
              </w:rPr>
            </w:pPr>
            <w:r>
              <w:rPr>
                <w:rFonts w:hint="eastAsia" w:ascii="宋体" w:hAnsi="宋体" w:cs="宋体"/>
                <w:sz w:val="24"/>
              </w:rPr>
              <w:t>&gt;=4小时</w:t>
            </w:r>
          </w:p>
        </w:tc>
        <w:tc>
          <w:tcPr>
            <w:tcW w:w="1799" w:type="dxa"/>
            <w:vAlign w:val="center"/>
          </w:tcPr>
          <w:p w14:paraId="2EDA14C9">
            <w:pPr>
              <w:spacing w:line="360" w:lineRule="auto"/>
              <w:jc w:val="center"/>
              <w:rPr>
                <w:rFonts w:ascii="宋体" w:hAnsi="宋体" w:cs="宋体"/>
                <w:kern w:val="0"/>
                <w:sz w:val="24"/>
              </w:rPr>
            </w:pPr>
            <w:r>
              <w:rPr>
                <w:rFonts w:hint="eastAsia" w:ascii="宋体" w:hAnsi="宋体" w:cs="宋体"/>
                <w:sz w:val="24"/>
              </w:rPr>
              <w:t>5小时</w:t>
            </w:r>
          </w:p>
        </w:tc>
        <w:tc>
          <w:tcPr>
            <w:tcW w:w="1866" w:type="dxa"/>
            <w:vAlign w:val="center"/>
          </w:tcPr>
          <w:p w14:paraId="650A8CB7">
            <w:pPr>
              <w:spacing w:line="360" w:lineRule="auto"/>
              <w:jc w:val="center"/>
              <w:rPr>
                <w:rFonts w:ascii="宋体" w:hAnsi="宋体" w:cs="宋体"/>
                <w:kern w:val="0"/>
                <w:sz w:val="24"/>
              </w:rPr>
            </w:pPr>
            <w:r>
              <w:rPr>
                <w:rFonts w:hint="eastAsia" w:ascii="宋体" w:hAnsi="宋体" w:cs="宋体"/>
                <w:sz w:val="24"/>
              </w:rPr>
              <w:t>省无线电管理年度工作综合评价（2025年）</w:t>
            </w:r>
          </w:p>
        </w:tc>
        <w:tc>
          <w:tcPr>
            <w:tcW w:w="1787" w:type="dxa"/>
            <w:vAlign w:val="center"/>
          </w:tcPr>
          <w:p w14:paraId="22073103">
            <w:pPr>
              <w:spacing w:line="360" w:lineRule="auto"/>
              <w:jc w:val="center"/>
              <w:rPr>
                <w:rFonts w:ascii="宋体" w:hAnsi="宋体" w:cs="宋体"/>
                <w:kern w:val="0"/>
                <w:sz w:val="24"/>
              </w:rPr>
            </w:pPr>
            <w:r>
              <w:rPr>
                <w:rFonts w:hint="eastAsia" w:ascii="宋体" w:hAnsi="宋体" w:cs="宋体"/>
                <w:sz w:val="24"/>
              </w:rPr>
              <w:t>25.00%</w:t>
            </w:r>
          </w:p>
        </w:tc>
        <w:tc>
          <w:tcPr>
            <w:tcW w:w="1071" w:type="dxa"/>
          </w:tcPr>
          <w:p w14:paraId="42225E5D">
            <w:pPr>
              <w:spacing w:line="360" w:lineRule="auto"/>
              <w:rPr>
                <w:rFonts w:ascii="宋体" w:hAnsi="宋体" w:cs="宋体"/>
                <w:kern w:val="0"/>
                <w:sz w:val="22"/>
              </w:rPr>
            </w:pPr>
            <w:r>
              <w:rPr>
                <w:rFonts w:hint="eastAsia" w:ascii="宋体" w:hAnsi="宋体" w:cs="宋体"/>
                <w:sz w:val="24"/>
              </w:rPr>
              <w:t>年度监测任务较多，因此完成的监测时间大于估算时间，原指标是是按照省无线电管理年度工作综合评价细则（2025年）制定的</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0680833"/>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9AE0B26"/>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18</Pages>
  <Words>3830</Words>
  <Characters>4525</Characters>
  <Lines>6</Lines>
  <Paragraphs>1</Paragraphs>
  <TotalTime>5</TotalTime>
  <ScaleCrop>false</ScaleCrop>
  <LinksUpToDate>false</LinksUpToDate>
  <CharactersWithSpaces>4558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企业用户_248082468</cp:lastModifiedBy>
  <cp:lastPrinted>2019-06-21T02:10:00Z</cp:lastPrinted>
  <dcterms:modified xsi:type="dcterms:W3CDTF">2026-10-27T01:49:19Z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739EEDB2ECE141DEAF0C3D87D58590AD_13</vt:lpwstr>
  </property>
  <property fmtid="{D5CDD505-2E9C-101B-9397-08002B2CF9AE}" pid="4" name="KSOTemplateDocerSaveRecord">
    <vt:lpwstr>eyJoZGlkIjoiYjI0NDJmMmQ3YmQ5N2U2MjM2ZmQyODc5MjI3NTRiMzkiLCJ1c2VySWQiOiIxNzA5NDQ5MjA3In0=</vt:lpwstr>
  </property>
</Properties>
</file>