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D7DC1">
      <w:pPr>
        <w:rPr>
          <w:rFonts w:eastAsia="仿宋_GB2312"/>
          <w:sz w:val="30"/>
        </w:rPr>
      </w:pPr>
    </w:p>
    <w:p w14:paraId="2A6F3B9F">
      <w:pPr>
        <w:spacing w:line="360" w:lineRule="auto"/>
        <w:jc w:val="center"/>
        <w:rPr>
          <w:rFonts w:ascii="黑体" w:hAnsi="黑体" w:eastAsia="黑体"/>
          <w:sz w:val="32"/>
          <w:szCs w:val="32"/>
        </w:rPr>
      </w:pPr>
      <w:r>
        <w:rPr>
          <w:rFonts w:hint="eastAsia" w:ascii="黑体" w:hAnsi="黑体" w:eastAsia="黑体"/>
          <w:sz w:val="32"/>
          <w:szCs w:val="32"/>
        </w:rPr>
        <w:t>苏州市市级预算部门（单位）整体支出预算绩效自评报告</w:t>
      </w:r>
    </w:p>
    <w:p w14:paraId="4A05E983">
      <w:pPr>
        <w:spacing w:line="360" w:lineRule="auto"/>
        <w:jc w:val="center"/>
        <w:rPr>
          <w:rFonts w:ascii="黑体" w:eastAsia="黑体"/>
          <w:sz w:val="32"/>
          <w:szCs w:val="32"/>
        </w:rPr>
      </w:pPr>
      <w:r>
        <w:rPr>
          <w:rFonts w:hint="eastAsia" w:ascii="黑体" w:eastAsia="黑体"/>
          <w:sz w:val="32"/>
          <w:szCs w:val="32"/>
        </w:rPr>
        <w:t>（202</w:t>
      </w:r>
      <w:r>
        <w:rPr>
          <w:rFonts w:hint="eastAsia" w:ascii="黑体" w:eastAsia="黑体"/>
          <w:sz w:val="32"/>
          <w:szCs w:val="32"/>
          <w:lang w:val="en-US" w:eastAsia="zh-CN"/>
        </w:rPr>
        <w:t>5</w:t>
      </w:r>
      <w:r>
        <w:rPr>
          <w:rFonts w:hint="eastAsia" w:ascii="黑体" w:eastAsia="黑体"/>
          <w:sz w:val="32"/>
          <w:szCs w:val="32"/>
        </w:rPr>
        <w:t>年度）</w:t>
      </w:r>
    </w:p>
    <w:p w14:paraId="2D0D461F">
      <w:pPr>
        <w:spacing w:line="360" w:lineRule="auto"/>
        <w:jc w:val="center"/>
        <w:rPr>
          <w:rFonts w:eastAsia="仿宋_GB2312"/>
          <w:sz w:val="30"/>
        </w:rPr>
      </w:pPr>
    </w:p>
    <w:p w14:paraId="0B85D768">
      <w:pPr>
        <w:spacing w:line="360" w:lineRule="auto"/>
        <w:ind w:firstLine="600" w:firstLineChars="200"/>
        <w:rPr>
          <w:rFonts w:ascii="黑体" w:hAnsi="黑体" w:eastAsia="黑体"/>
          <w:sz w:val="30"/>
        </w:rPr>
      </w:pPr>
      <w:r>
        <w:rPr>
          <w:rFonts w:hint="eastAsia" w:ascii="黑体" w:hAnsi="黑体" w:eastAsia="黑体"/>
          <w:sz w:val="30"/>
        </w:rPr>
        <w:t>一、预算部门名称：</w:t>
      </w:r>
      <w:r>
        <w:rPr>
          <w:rFonts w:hint="eastAsia" w:ascii="宋体" w:hAnsi="宋体" w:cs="宋体"/>
          <w:sz w:val="24"/>
        </w:rPr>
        <w:t>苏州市无线电管理监测站</w:t>
      </w:r>
    </w:p>
    <w:p w14:paraId="58F772EF">
      <w:pPr>
        <w:spacing w:line="360" w:lineRule="auto"/>
        <w:ind w:firstLine="600" w:firstLineChars="200"/>
        <w:rPr>
          <w:rFonts w:ascii="黑体" w:hAnsi="黑体" w:eastAsia="黑体"/>
          <w:sz w:val="30"/>
        </w:rPr>
      </w:pPr>
      <w:r>
        <w:rPr>
          <w:rFonts w:hint="eastAsia" w:ascii="黑体" w:hAnsi="黑体" w:eastAsia="黑体"/>
          <w:sz w:val="30"/>
        </w:rPr>
        <w:t>二、</w:t>
      </w:r>
      <w:r>
        <w:rPr>
          <w:rFonts w:ascii="黑体" w:hAnsi="黑体" w:eastAsia="黑体"/>
          <w:sz w:val="30"/>
        </w:rPr>
        <w:t>年度履职目标完成情况</w:t>
      </w:r>
      <w:r>
        <w:rPr>
          <w:rFonts w:hint="eastAsia" w:ascii="黑体" w:hAnsi="黑体" w:eastAsia="黑体"/>
          <w:sz w:val="30"/>
        </w:rPr>
        <w:t>：</w:t>
      </w:r>
    </w:p>
    <w:p w14:paraId="612F7DFF">
      <w:pPr>
        <w:spacing w:line="360" w:lineRule="auto"/>
        <w:ind w:firstLine="480" w:firstLineChars="200"/>
        <w:rPr>
          <w:rFonts w:ascii="宋体" w:hAnsi="宋体" w:cs="宋体"/>
          <w:sz w:val="24"/>
        </w:rPr>
      </w:pPr>
      <w:r>
        <w:rPr>
          <w:rFonts w:hint="eastAsia" w:ascii="宋体" w:hAnsi="宋体" w:cs="宋体"/>
          <w:sz w:val="24"/>
        </w:rPr>
        <w:t>2025年，苏州市无线电管理机构紧扣“科学配置资源、提升监测能力、筑牢安全防线”主线，圆满完成各项年度履职目标 。全年累计办理行政许可647件，查处干扰25起，检查无线电台站及企业81次，保障各类考试25场次 。在服务经济发展方面，我局精准保障了天齐锂业等30家重点企业用频需求 ，助力轨道交通7、8号线及太仓港等重大基础设施建设 ，并积极探索低空经济频率保护机制，协调完成航产集团试验频率工作 。技术设施建设上，利用459万元专项资金推进吴中、相城及高新区3个固定监测站项目，进一步织密监测网络 ，并通过岗位练兵提升了90人次保障人员的实战能力 。安全防线筑牢方面，圆满完成元旦、两会及森林防火期保障任务 ，护航高考、公考等20项重大考试公平公正 ，并高效排查了涉及高铁、气象雷达及公众通信等领域的各类无线电干扰 。2026年，我局将持续优化许可流程 ，常态化开展台站数据质量治理 ，并依托信息化手段提升监测设施利用效率，确保无线电管理工作高质量开展 。</w:t>
      </w:r>
    </w:p>
    <w:p w14:paraId="5F3839C4">
      <w:pPr>
        <w:spacing w:line="360" w:lineRule="auto"/>
        <w:ind w:left="600"/>
        <w:rPr>
          <w:rFonts w:ascii="黑体" w:hAnsi="黑体" w:eastAsia="黑体"/>
          <w:sz w:val="30"/>
        </w:rPr>
      </w:pPr>
      <w:r>
        <w:rPr>
          <w:rFonts w:hint="eastAsia" w:ascii="黑体" w:hAnsi="黑体" w:eastAsia="黑体"/>
          <w:sz w:val="30"/>
        </w:rPr>
        <w:t>三、部门（单位）概况</w:t>
      </w:r>
    </w:p>
    <w:p w14:paraId="7D338969">
      <w:pPr>
        <w:spacing w:line="360" w:lineRule="auto"/>
        <w:ind w:firstLine="480" w:firstLineChars="200"/>
        <w:rPr>
          <w:rFonts w:ascii="宋体" w:hAnsi="宋体" w:cs="宋体"/>
          <w:sz w:val="24"/>
        </w:rPr>
      </w:pPr>
      <w:r>
        <w:rPr>
          <w:rFonts w:hint="eastAsia" w:ascii="宋体" w:hAnsi="宋体" w:cs="宋体"/>
          <w:sz w:val="24"/>
        </w:rPr>
        <w:t>为加强无线电管理，保证各种无线电业务正常进行，提供监测服务；监测无线电台（站）的程序和核定项目；查找无线电干扰源和未经批准使用的无线电台（站）；测定无线电设备的主要技术指标；检测工业、科学、医疗等非无线电设备的无线电波辐射；国家、地方无线电管理机构规定的其他职责。本单位独立机构数为1个，独立核算机构数为1个，无内设处室。</w:t>
      </w:r>
    </w:p>
    <w:p w14:paraId="201729EA">
      <w:pPr>
        <w:spacing w:line="360" w:lineRule="auto"/>
        <w:ind w:left="600"/>
        <w:rPr>
          <w:rFonts w:ascii="黑体" w:hAnsi="黑体" w:eastAsia="黑体"/>
          <w:sz w:val="30"/>
        </w:rPr>
      </w:pPr>
      <w:r>
        <w:rPr>
          <w:rFonts w:hint="eastAsia" w:ascii="黑体" w:hAnsi="黑体" w:eastAsia="黑体"/>
          <w:sz w:val="30"/>
        </w:rPr>
        <w:t>四、部门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整体支出绩效实现情况</w:t>
      </w:r>
    </w:p>
    <w:p w14:paraId="7D81C34A">
      <w:pPr>
        <w:spacing w:line="360" w:lineRule="auto"/>
        <w:ind w:firstLine="480" w:firstLineChars="200"/>
        <w:rPr>
          <w:rFonts w:ascii="宋体" w:hAnsi="宋体" w:cs="宋体"/>
          <w:sz w:val="24"/>
        </w:rPr>
      </w:pPr>
      <w:r>
        <w:rPr>
          <w:rFonts w:hint="eastAsia" w:ascii="宋体" w:hAnsi="宋体" w:cs="宋体"/>
          <w:sz w:val="24"/>
        </w:rPr>
        <w:t>年初预算数为448.06万元，年中调增预算627.75万元，调整后预算数为1075.81万元，实际支出数为1036.13万元，预算执行率达96.31%，其中基本支出492.52万元，项目支出543.61万元。</w:t>
      </w:r>
    </w:p>
    <w:p w14:paraId="1B2DC329">
      <w:pPr>
        <w:spacing w:line="360" w:lineRule="auto"/>
        <w:ind w:left="600"/>
        <w:rPr>
          <w:rFonts w:ascii="黑体" w:hAnsi="黑体" w:eastAsia="黑体"/>
          <w:sz w:val="30"/>
        </w:rPr>
      </w:pPr>
      <w:r>
        <w:rPr>
          <w:rFonts w:hint="eastAsia" w:ascii="黑体" w:hAnsi="黑体" w:eastAsia="黑体"/>
          <w:sz w:val="30"/>
        </w:rPr>
        <w:t>五、部门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整体支出绩效中存</w:t>
      </w:r>
      <w:r>
        <w:rPr>
          <w:rFonts w:ascii="黑体" w:hAnsi="黑体" w:eastAsia="黑体"/>
          <w:sz w:val="30"/>
        </w:rPr>
        <w:t>在问题</w:t>
      </w:r>
      <w:r>
        <w:rPr>
          <w:rFonts w:hint="eastAsia" w:ascii="黑体" w:hAnsi="黑体" w:eastAsia="黑体"/>
          <w:sz w:val="30"/>
        </w:rPr>
        <w:t>及</w:t>
      </w:r>
      <w:r>
        <w:rPr>
          <w:rFonts w:ascii="黑体" w:hAnsi="黑体" w:eastAsia="黑体"/>
          <w:sz w:val="30"/>
        </w:rPr>
        <w:t>改进措施</w:t>
      </w:r>
    </w:p>
    <w:p w14:paraId="626F8FAD">
      <w:pPr>
        <w:spacing w:line="360" w:lineRule="auto"/>
        <w:ind w:firstLine="480" w:firstLineChars="200"/>
        <w:rPr>
          <w:rFonts w:ascii="宋体" w:hAnsi="宋体" w:cs="宋体"/>
          <w:sz w:val="24"/>
        </w:rPr>
      </w:pPr>
      <w:r>
        <w:rPr>
          <w:rFonts w:hint="eastAsia" w:ascii="宋体" w:hAnsi="宋体" w:cs="宋体"/>
          <w:sz w:val="24"/>
        </w:rPr>
        <w:t>存在问题：调整预算数较年初预算数偏离较多，主要原因是年内收到上级专项补助资金522.24万元，导致预算偏差率较大。改进措施：严格做好年初预算工作，从需求分析、历史数据应用等方面综合安排资金预算，持续做好预算执行监控与分析，提高预算准确性。</w:t>
      </w:r>
    </w:p>
    <w:p w14:paraId="088B966C">
      <w:pPr>
        <w:spacing w:line="360" w:lineRule="auto"/>
        <w:ind w:left="600"/>
        <w:rPr>
          <w:rFonts w:ascii="黑体" w:hAnsi="黑体" w:eastAsia="黑体"/>
          <w:sz w:val="30"/>
        </w:rPr>
      </w:pPr>
      <w:r>
        <w:rPr>
          <w:rFonts w:hint="eastAsia" w:ascii="黑体" w:hAnsi="黑体" w:eastAsia="黑体"/>
          <w:sz w:val="30"/>
        </w:rPr>
        <w:t>六、</w:t>
      </w:r>
      <w:r>
        <w:rPr>
          <w:rFonts w:ascii="黑体" w:hAnsi="黑体" w:eastAsia="黑体"/>
          <w:sz w:val="30"/>
        </w:rPr>
        <w:t>绩效自评</w:t>
      </w:r>
      <w:r>
        <w:rPr>
          <w:rFonts w:hint="eastAsia" w:ascii="黑体" w:hAnsi="黑体" w:eastAsia="黑体"/>
          <w:sz w:val="30"/>
        </w:rPr>
        <w:t>结果</w:t>
      </w:r>
      <w:r>
        <w:rPr>
          <w:rFonts w:ascii="黑体" w:hAnsi="黑体" w:eastAsia="黑体"/>
          <w:sz w:val="30"/>
        </w:rPr>
        <w:t>拟应用和公开</w:t>
      </w:r>
      <w:r>
        <w:rPr>
          <w:rFonts w:hint="eastAsia" w:ascii="黑体" w:hAnsi="黑体" w:eastAsia="黑体"/>
          <w:sz w:val="30"/>
        </w:rPr>
        <w:t>情况</w:t>
      </w:r>
    </w:p>
    <w:p w14:paraId="19BBA852">
      <w:pPr>
        <w:spacing w:line="360" w:lineRule="auto"/>
        <w:ind w:firstLine="480" w:firstLineChars="200"/>
        <w:rPr>
          <w:rFonts w:ascii="宋体" w:hAnsi="宋体" w:cs="宋体"/>
          <w:sz w:val="24"/>
        </w:rPr>
      </w:pPr>
      <w:r>
        <w:rPr>
          <w:rFonts w:hint="eastAsia" w:ascii="宋体" w:hAnsi="宋体" w:cs="宋体"/>
          <w:sz w:val="24"/>
        </w:rPr>
        <w:t>绩效自评结果拟应用于下一年度预算整体支出安排参考，作为部门项目绩效考核的依据，整体绩效自评结果拟公开。</w:t>
      </w:r>
    </w:p>
    <w:p w14:paraId="77536DBD">
      <w:pPr>
        <w:spacing w:line="360" w:lineRule="auto"/>
        <w:rPr>
          <w:rFonts w:ascii="黑体" w:hAnsi="黑体" w:eastAsia="黑体"/>
          <w:sz w:val="30"/>
        </w:rPr>
        <w:sectPr>
          <w:headerReference r:id="rId3" w:type="default"/>
          <w:footerReference r:id="rId5" w:type="default"/>
          <w:headerReference r:id="rId4" w:type="even"/>
          <w:footerReference r:id="rId6" w:type="even"/>
          <w:pgSz w:w="11907" w:h="16840"/>
          <w:pgMar w:top="1247" w:right="1400" w:bottom="1089" w:left="1559" w:header="851" w:footer="992" w:gutter="0"/>
          <w:paperSrc w:first="15" w:other="15"/>
          <w:cols w:space="720" w:num="1"/>
          <w:docGrid w:type="lines" w:linePitch="312" w:charSpace="0"/>
        </w:sectPr>
      </w:pPr>
    </w:p>
    <w:p w14:paraId="280D262C">
      <w:pPr>
        <w:numPr>
          <w:ilvl w:val="0"/>
          <w:numId w:val="1"/>
        </w:numPr>
        <w:spacing w:line="360" w:lineRule="auto"/>
        <w:ind w:left="600"/>
        <w:rPr>
          <w:rFonts w:ascii="黑体" w:hAnsi="黑体" w:eastAsia="黑体"/>
          <w:sz w:val="30"/>
        </w:rPr>
      </w:pPr>
      <w:r>
        <w:rPr>
          <w:rFonts w:hint="eastAsia" w:ascii="黑体" w:hAnsi="黑体" w:eastAsia="黑体"/>
          <w:sz w:val="30"/>
        </w:rPr>
        <w:t>预算信息</w:t>
      </w:r>
    </w:p>
    <w:p w14:paraId="6B7F7FE6">
      <w:pPr>
        <w:spacing w:line="360" w:lineRule="auto"/>
        <w:ind w:left="600"/>
        <w:rPr>
          <w:rFonts w:ascii="黑体" w:hAnsi="黑体" w:eastAsia="黑体"/>
          <w:sz w:val="30"/>
        </w:rPr>
      </w:pPr>
    </w:p>
    <w:tbl>
      <w:tblPr>
        <w:tblStyle w:val="5"/>
        <w:tblW w:w="14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9"/>
        <w:gridCol w:w="2268"/>
        <w:gridCol w:w="2268"/>
        <w:gridCol w:w="2268"/>
        <w:gridCol w:w="2268"/>
        <w:gridCol w:w="2268"/>
      </w:tblGrid>
      <w:tr w14:paraId="7D63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079" w:type="dxa"/>
            <w:shd w:val="clear" w:color="000000" w:fill="BFBFBF"/>
            <w:vAlign w:val="center"/>
          </w:tcPr>
          <w:p w14:paraId="4BC6E322">
            <w:pPr>
              <w:widowControl/>
              <w:jc w:val="center"/>
              <w:rPr>
                <w:rFonts w:ascii="宋体" w:hAnsi="宋体" w:cs="宋体"/>
                <w:b/>
                <w:bCs/>
                <w:kern w:val="0"/>
                <w:sz w:val="24"/>
              </w:rPr>
            </w:pPr>
            <w:r>
              <w:rPr>
                <w:rFonts w:hint="eastAsia" w:ascii="宋体" w:hAnsi="宋体" w:cs="宋体"/>
                <w:b/>
                <w:bCs/>
                <w:kern w:val="0"/>
                <w:sz w:val="24"/>
              </w:rPr>
              <w:t>本年度预算资金（万元）</w:t>
            </w:r>
          </w:p>
        </w:tc>
        <w:tc>
          <w:tcPr>
            <w:tcW w:w="2268" w:type="dxa"/>
            <w:shd w:val="clear" w:color="000000" w:fill="BFBFBF"/>
            <w:vAlign w:val="center"/>
          </w:tcPr>
          <w:p w14:paraId="7E2E6F84">
            <w:pPr>
              <w:widowControl/>
              <w:jc w:val="center"/>
              <w:rPr>
                <w:rFonts w:ascii="宋体" w:hAnsi="宋体" w:cs="宋体"/>
                <w:b/>
                <w:bCs/>
                <w:kern w:val="0"/>
                <w:sz w:val="24"/>
              </w:rPr>
            </w:pPr>
            <w:r>
              <w:rPr>
                <w:rFonts w:hint="eastAsia" w:ascii="宋体" w:hAnsi="宋体" w:cs="宋体"/>
                <w:b/>
                <w:bCs/>
                <w:kern w:val="0"/>
                <w:sz w:val="24"/>
              </w:rPr>
              <w:t>年初预算数（万元）</w:t>
            </w:r>
          </w:p>
        </w:tc>
        <w:tc>
          <w:tcPr>
            <w:tcW w:w="2268" w:type="dxa"/>
            <w:shd w:val="clear" w:color="000000" w:fill="BFBFBF"/>
            <w:vAlign w:val="center"/>
          </w:tcPr>
          <w:p w14:paraId="74B8B6D4">
            <w:pPr>
              <w:widowControl/>
              <w:jc w:val="center"/>
              <w:rPr>
                <w:rFonts w:ascii="宋体" w:hAnsi="宋体" w:cs="宋体"/>
                <w:b/>
                <w:bCs/>
                <w:kern w:val="0"/>
                <w:sz w:val="24"/>
              </w:rPr>
            </w:pPr>
            <w:r>
              <w:rPr>
                <w:rFonts w:hint="eastAsia" w:ascii="宋体" w:hAnsi="宋体" w:cs="宋体"/>
                <w:b/>
                <w:bCs/>
                <w:kern w:val="0"/>
                <w:sz w:val="24"/>
              </w:rPr>
              <w:t>上年度结转及当年预算追加追减数(万元）</w:t>
            </w:r>
          </w:p>
        </w:tc>
        <w:tc>
          <w:tcPr>
            <w:tcW w:w="2268" w:type="dxa"/>
            <w:shd w:val="clear" w:color="000000" w:fill="BFBFBF"/>
            <w:vAlign w:val="center"/>
          </w:tcPr>
          <w:p w14:paraId="218C2C18">
            <w:pPr>
              <w:widowControl/>
              <w:jc w:val="center"/>
              <w:rPr>
                <w:rFonts w:ascii="宋体" w:hAnsi="宋体" w:cs="宋体"/>
                <w:b/>
                <w:bCs/>
                <w:kern w:val="0"/>
                <w:sz w:val="24"/>
              </w:rPr>
            </w:pPr>
            <w:r>
              <w:rPr>
                <w:rFonts w:hint="eastAsia" w:ascii="宋体" w:hAnsi="宋体" w:cs="宋体"/>
                <w:b/>
                <w:bCs/>
                <w:kern w:val="0"/>
                <w:sz w:val="24"/>
              </w:rPr>
              <w:t>调整预算数（万元）</w:t>
            </w:r>
          </w:p>
        </w:tc>
        <w:tc>
          <w:tcPr>
            <w:tcW w:w="2268" w:type="dxa"/>
            <w:shd w:val="clear" w:color="000000" w:fill="BFBFBF"/>
            <w:vAlign w:val="center"/>
          </w:tcPr>
          <w:p w14:paraId="6C2574C8">
            <w:pPr>
              <w:widowControl/>
              <w:jc w:val="center"/>
              <w:rPr>
                <w:rFonts w:ascii="宋体" w:hAnsi="宋体" w:cs="宋体"/>
                <w:b/>
                <w:bCs/>
                <w:kern w:val="0"/>
                <w:sz w:val="24"/>
              </w:rPr>
            </w:pPr>
            <w:r>
              <w:rPr>
                <w:rFonts w:hint="eastAsia" w:ascii="宋体" w:hAnsi="宋体" w:cs="宋体"/>
                <w:b/>
                <w:bCs/>
                <w:kern w:val="0"/>
                <w:sz w:val="24"/>
              </w:rPr>
              <w:t>实际支出数（万元）</w:t>
            </w:r>
          </w:p>
        </w:tc>
        <w:tc>
          <w:tcPr>
            <w:tcW w:w="2268" w:type="dxa"/>
            <w:shd w:val="clear" w:color="000000" w:fill="BFBFBF"/>
            <w:vAlign w:val="center"/>
          </w:tcPr>
          <w:p w14:paraId="3899CF22">
            <w:pPr>
              <w:widowControl/>
              <w:jc w:val="center"/>
              <w:rPr>
                <w:rFonts w:ascii="宋体" w:hAnsi="宋体" w:cs="宋体"/>
                <w:b/>
                <w:bCs/>
                <w:kern w:val="0"/>
                <w:sz w:val="24"/>
              </w:rPr>
            </w:pPr>
            <w:r>
              <w:rPr>
                <w:rFonts w:hint="eastAsia" w:ascii="宋体" w:hAnsi="宋体" w:cs="宋体"/>
                <w:b/>
                <w:bCs/>
                <w:kern w:val="0"/>
                <w:sz w:val="24"/>
              </w:rPr>
              <w:t>执行率（%)</w:t>
            </w:r>
          </w:p>
        </w:tc>
      </w:tr>
      <w:tr w14:paraId="22F66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6B947A46">
            <w:pPr>
              <w:widowControl/>
              <w:jc w:val="left"/>
              <w:rPr>
                <w:rFonts w:ascii="宋体" w:hAnsi="宋体" w:cs="宋体"/>
                <w:kern w:val="0"/>
                <w:sz w:val="24"/>
              </w:rPr>
            </w:pPr>
            <w:r>
              <w:rPr>
                <w:rFonts w:hint="eastAsia" w:ascii="宋体" w:hAnsi="宋体" w:cs="宋体"/>
                <w:sz w:val="24"/>
              </w:rPr>
              <w:t>预算总金额</w:t>
            </w:r>
          </w:p>
        </w:tc>
        <w:tc>
          <w:tcPr>
            <w:tcW w:w="2268" w:type="dxa"/>
            <w:vAlign w:val="center"/>
          </w:tcPr>
          <w:p w14:paraId="727E817C">
            <w:pPr>
              <w:widowControl/>
              <w:jc w:val="center"/>
              <w:rPr>
                <w:rFonts w:ascii="宋体" w:hAnsi="宋体" w:cs="宋体"/>
                <w:kern w:val="0"/>
                <w:sz w:val="24"/>
              </w:rPr>
            </w:pPr>
            <w:r>
              <w:rPr>
                <w:rFonts w:hint="eastAsia" w:ascii="宋体" w:hAnsi="宋体" w:cs="宋体"/>
                <w:sz w:val="24"/>
              </w:rPr>
              <w:t>448.06</w:t>
            </w:r>
          </w:p>
        </w:tc>
        <w:tc>
          <w:tcPr>
            <w:tcW w:w="2268" w:type="dxa"/>
            <w:vAlign w:val="center"/>
          </w:tcPr>
          <w:p w14:paraId="6F544EB2">
            <w:pPr>
              <w:widowControl/>
              <w:jc w:val="center"/>
              <w:rPr>
                <w:rFonts w:ascii="宋体" w:hAnsi="宋体" w:cs="宋体"/>
                <w:sz w:val="24"/>
              </w:rPr>
            </w:pPr>
            <w:r>
              <w:rPr>
                <w:rFonts w:hint="eastAsia" w:ascii="宋体" w:hAnsi="宋体" w:cs="宋体"/>
                <w:sz w:val="24"/>
              </w:rPr>
              <w:t>627.75</w:t>
            </w:r>
          </w:p>
        </w:tc>
        <w:tc>
          <w:tcPr>
            <w:tcW w:w="2268" w:type="dxa"/>
            <w:vAlign w:val="center"/>
          </w:tcPr>
          <w:p w14:paraId="3904FC34">
            <w:pPr>
              <w:widowControl/>
              <w:jc w:val="center"/>
              <w:rPr>
                <w:rFonts w:ascii="宋体" w:hAnsi="宋体" w:cs="宋体"/>
                <w:sz w:val="24"/>
              </w:rPr>
            </w:pPr>
            <w:r>
              <w:rPr>
                <w:rFonts w:hint="eastAsia" w:ascii="宋体" w:hAnsi="宋体" w:cs="宋体"/>
                <w:sz w:val="24"/>
              </w:rPr>
              <w:t>1075.81</w:t>
            </w:r>
          </w:p>
        </w:tc>
        <w:tc>
          <w:tcPr>
            <w:tcW w:w="2268" w:type="dxa"/>
            <w:vAlign w:val="center"/>
          </w:tcPr>
          <w:p w14:paraId="42B6ACA4">
            <w:pPr>
              <w:widowControl/>
              <w:jc w:val="center"/>
              <w:rPr>
                <w:rFonts w:ascii="宋体" w:hAnsi="宋体" w:cs="宋体"/>
                <w:sz w:val="24"/>
              </w:rPr>
            </w:pPr>
            <w:r>
              <w:rPr>
                <w:rFonts w:hint="eastAsia" w:ascii="宋体" w:hAnsi="宋体" w:cs="宋体"/>
                <w:sz w:val="24"/>
              </w:rPr>
              <w:t>1036.13</w:t>
            </w:r>
          </w:p>
        </w:tc>
        <w:tc>
          <w:tcPr>
            <w:tcW w:w="2268" w:type="dxa"/>
            <w:vAlign w:val="center"/>
          </w:tcPr>
          <w:p w14:paraId="5301DA83">
            <w:pPr>
              <w:widowControl/>
              <w:jc w:val="center"/>
              <w:rPr>
                <w:rFonts w:ascii="宋体" w:hAnsi="宋体" w:cs="宋体"/>
                <w:sz w:val="24"/>
              </w:rPr>
            </w:pPr>
            <w:r>
              <w:rPr>
                <w:rFonts w:hint="eastAsia" w:ascii="宋体" w:hAnsi="宋体" w:cs="宋体"/>
                <w:sz w:val="24"/>
              </w:rPr>
              <w:t>96.31%</w:t>
            </w:r>
          </w:p>
        </w:tc>
      </w:tr>
      <w:tr w14:paraId="3D23D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1E9B0035">
            <w:pPr>
              <w:widowControl/>
              <w:jc w:val="left"/>
              <w:rPr>
                <w:rFonts w:ascii="宋体" w:hAnsi="宋体" w:cs="宋体"/>
                <w:kern w:val="0"/>
                <w:sz w:val="24"/>
              </w:rPr>
            </w:pPr>
            <w:r>
              <w:rPr>
                <w:rFonts w:hint="eastAsia" w:ascii="宋体" w:hAnsi="宋体" w:cs="宋体"/>
                <w:sz w:val="24"/>
              </w:rPr>
              <w:t>基本支出</w:t>
            </w:r>
          </w:p>
        </w:tc>
        <w:tc>
          <w:tcPr>
            <w:tcW w:w="2268" w:type="dxa"/>
            <w:vAlign w:val="center"/>
          </w:tcPr>
          <w:p w14:paraId="56DA3472">
            <w:pPr>
              <w:widowControl/>
              <w:jc w:val="center"/>
              <w:rPr>
                <w:rFonts w:ascii="宋体" w:hAnsi="宋体" w:cs="宋体"/>
                <w:kern w:val="0"/>
                <w:sz w:val="24"/>
              </w:rPr>
            </w:pPr>
            <w:r>
              <w:rPr>
                <w:rFonts w:hint="eastAsia" w:ascii="宋体" w:hAnsi="宋体" w:cs="宋体"/>
                <w:sz w:val="24"/>
              </w:rPr>
              <w:t>419.34</w:t>
            </w:r>
          </w:p>
        </w:tc>
        <w:tc>
          <w:tcPr>
            <w:tcW w:w="2268" w:type="dxa"/>
            <w:vAlign w:val="center"/>
          </w:tcPr>
          <w:p w14:paraId="306C939A">
            <w:pPr>
              <w:widowControl/>
              <w:jc w:val="center"/>
              <w:rPr>
                <w:rFonts w:ascii="宋体" w:hAnsi="宋体" w:cs="宋体"/>
                <w:sz w:val="24"/>
              </w:rPr>
            </w:pPr>
            <w:r>
              <w:rPr>
                <w:rFonts w:hint="eastAsia" w:ascii="宋体" w:hAnsi="宋体" w:cs="宋体"/>
                <w:sz w:val="24"/>
              </w:rPr>
              <w:t>73.18</w:t>
            </w:r>
          </w:p>
        </w:tc>
        <w:tc>
          <w:tcPr>
            <w:tcW w:w="2268" w:type="dxa"/>
            <w:vAlign w:val="center"/>
          </w:tcPr>
          <w:p w14:paraId="68A4CD00">
            <w:pPr>
              <w:widowControl/>
              <w:jc w:val="center"/>
              <w:rPr>
                <w:rFonts w:ascii="宋体" w:hAnsi="宋体" w:cs="宋体"/>
                <w:sz w:val="24"/>
              </w:rPr>
            </w:pPr>
            <w:r>
              <w:rPr>
                <w:rFonts w:hint="eastAsia" w:ascii="宋体" w:hAnsi="宋体" w:cs="宋体"/>
                <w:sz w:val="24"/>
              </w:rPr>
              <w:t>492.52</w:t>
            </w:r>
          </w:p>
        </w:tc>
        <w:tc>
          <w:tcPr>
            <w:tcW w:w="2268" w:type="dxa"/>
            <w:vAlign w:val="center"/>
          </w:tcPr>
          <w:p w14:paraId="1005158A">
            <w:pPr>
              <w:widowControl/>
              <w:jc w:val="center"/>
              <w:rPr>
                <w:rFonts w:ascii="宋体" w:hAnsi="宋体" w:cs="宋体"/>
                <w:sz w:val="24"/>
              </w:rPr>
            </w:pPr>
            <w:r>
              <w:rPr>
                <w:rFonts w:hint="eastAsia" w:ascii="宋体" w:hAnsi="宋体" w:cs="宋体"/>
                <w:sz w:val="24"/>
              </w:rPr>
              <w:t>492.52</w:t>
            </w:r>
          </w:p>
        </w:tc>
        <w:tc>
          <w:tcPr>
            <w:tcW w:w="2268" w:type="dxa"/>
            <w:vAlign w:val="center"/>
          </w:tcPr>
          <w:p w14:paraId="05A60A37">
            <w:pPr>
              <w:widowControl/>
              <w:jc w:val="center"/>
              <w:rPr>
                <w:rFonts w:ascii="宋体" w:hAnsi="宋体" w:cs="宋体"/>
                <w:sz w:val="24"/>
              </w:rPr>
            </w:pPr>
            <w:r>
              <w:rPr>
                <w:rFonts w:hint="eastAsia" w:ascii="宋体" w:hAnsi="宋体" w:cs="宋体"/>
                <w:sz w:val="24"/>
              </w:rPr>
              <w:t>100.00%</w:t>
            </w:r>
          </w:p>
        </w:tc>
      </w:tr>
      <w:tr w14:paraId="0A7BF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1FA713F5">
            <w:pPr>
              <w:widowControl/>
              <w:jc w:val="left"/>
              <w:rPr>
                <w:rFonts w:ascii="宋体" w:hAnsi="宋体" w:cs="宋体"/>
                <w:kern w:val="0"/>
                <w:sz w:val="24"/>
              </w:rPr>
            </w:pPr>
            <w:r>
              <w:rPr>
                <w:rFonts w:hint="eastAsia" w:ascii="宋体" w:hAnsi="宋体" w:cs="宋体"/>
                <w:sz w:val="24"/>
              </w:rPr>
              <w:t>项目支出</w:t>
            </w:r>
          </w:p>
        </w:tc>
        <w:tc>
          <w:tcPr>
            <w:tcW w:w="2268" w:type="dxa"/>
            <w:vAlign w:val="center"/>
          </w:tcPr>
          <w:p w14:paraId="3ED615D1">
            <w:pPr>
              <w:widowControl/>
              <w:jc w:val="center"/>
              <w:rPr>
                <w:rFonts w:ascii="宋体" w:hAnsi="宋体" w:cs="宋体"/>
                <w:kern w:val="0"/>
                <w:sz w:val="24"/>
              </w:rPr>
            </w:pPr>
            <w:r>
              <w:rPr>
                <w:rFonts w:hint="eastAsia" w:ascii="宋体" w:hAnsi="宋体" w:cs="宋体"/>
                <w:sz w:val="24"/>
              </w:rPr>
              <w:t>28.72</w:t>
            </w:r>
          </w:p>
        </w:tc>
        <w:tc>
          <w:tcPr>
            <w:tcW w:w="2268" w:type="dxa"/>
            <w:vAlign w:val="center"/>
          </w:tcPr>
          <w:p w14:paraId="6E99EA3B">
            <w:pPr>
              <w:widowControl/>
              <w:jc w:val="center"/>
              <w:rPr>
                <w:rFonts w:ascii="宋体" w:hAnsi="宋体" w:cs="宋体"/>
                <w:sz w:val="24"/>
              </w:rPr>
            </w:pPr>
            <w:r>
              <w:rPr>
                <w:rFonts w:hint="eastAsia" w:ascii="宋体" w:hAnsi="宋体" w:cs="宋体"/>
                <w:sz w:val="24"/>
              </w:rPr>
              <w:t>554.57</w:t>
            </w:r>
          </w:p>
        </w:tc>
        <w:tc>
          <w:tcPr>
            <w:tcW w:w="2268" w:type="dxa"/>
            <w:vAlign w:val="center"/>
          </w:tcPr>
          <w:p w14:paraId="39109114">
            <w:pPr>
              <w:widowControl/>
              <w:jc w:val="center"/>
              <w:rPr>
                <w:rFonts w:ascii="宋体" w:hAnsi="宋体" w:cs="宋体"/>
                <w:sz w:val="24"/>
              </w:rPr>
            </w:pPr>
            <w:r>
              <w:rPr>
                <w:rFonts w:hint="eastAsia" w:ascii="宋体" w:hAnsi="宋体" w:cs="宋体"/>
                <w:sz w:val="24"/>
              </w:rPr>
              <w:t>583.29</w:t>
            </w:r>
          </w:p>
        </w:tc>
        <w:tc>
          <w:tcPr>
            <w:tcW w:w="2268" w:type="dxa"/>
            <w:vAlign w:val="center"/>
          </w:tcPr>
          <w:p w14:paraId="4F6A6821">
            <w:pPr>
              <w:widowControl/>
              <w:jc w:val="center"/>
              <w:rPr>
                <w:rFonts w:ascii="宋体" w:hAnsi="宋体" w:cs="宋体"/>
                <w:sz w:val="24"/>
              </w:rPr>
            </w:pPr>
            <w:r>
              <w:rPr>
                <w:rFonts w:hint="eastAsia" w:ascii="宋体" w:hAnsi="宋体" w:cs="宋体"/>
                <w:sz w:val="24"/>
              </w:rPr>
              <w:t>543.61</w:t>
            </w:r>
          </w:p>
        </w:tc>
        <w:tc>
          <w:tcPr>
            <w:tcW w:w="2268" w:type="dxa"/>
            <w:vAlign w:val="center"/>
          </w:tcPr>
          <w:p w14:paraId="48758DD9">
            <w:pPr>
              <w:widowControl/>
              <w:jc w:val="center"/>
              <w:rPr>
                <w:rFonts w:ascii="宋体" w:hAnsi="宋体" w:cs="宋体"/>
                <w:sz w:val="24"/>
              </w:rPr>
            </w:pPr>
            <w:r>
              <w:rPr>
                <w:rFonts w:hint="eastAsia" w:ascii="宋体" w:hAnsi="宋体" w:cs="宋体"/>
                <w:sz w:val="24"/>
              </w:rPr>
              <w:t>93.20%</w:t>
            </w:r>
          </w:p>
        </w:tc>
      </w:tr>
      <w:tr w14:paraId="0093F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616E98DB">
            <w:pPr>
              <w:widowControl/>
              <w:jc w:val="left"/>
              <w:rPr>
                <w:rFonts w:ascii="宋体" w:hAnsi="宋体" w:cs="宋体"/>
                <w:kern w:val="0"/>
                <w:sz w:val="24"/>
              </w:rPr>
            </w:pPr>
            <w:r>
              <w:rPr>
                <w:rFonts w:hint="eastAsia" w:ascii="宋体" w:hAnsi="宋体" w:cs="宋体"/>
                <w:sz w:val="24"/>
              </w:rPr>
              <w:t>房屋维修维护费</w:t>
            </w:r>
          </w:p>
        </w:tc>
        <w:tc>
          <w:tcPr>
            <w:tcW w:w="2268" w:type="dxa"/>
            <w:vAlign w:val="center"/>
          </w:tcPr>
          <w:p w14:paraId="368F6CFF">
            <w:pPr>
              <w:widowControl/>
              <w:jc w:val="center"/>
              <w:rPr>
                <w:rFonts w:ascii="宋体" w:hAnsi="宋体" w:cs="宋体"/>
                <w:kern w:val="0"/>
                <w:sz w:val="24"/>
              </w:rPr>
            </w:pPr>
            <w:r>
              <w:rPr>
                <w:rFonts w:hint="eastAsia" w:ascii="宋体" w:hAnsi="宋体" w:cs="宋体"/>
                <w:sz w:val="24"/>
              </w:rPr>
              <w:t>6.62</w:t>
            </w:r>
          </w:p>
        </w:tc>
        <w:tc>
          <w:tcPr>
            <w:tcW w:w="2268" w:type="dxa"/>
            <w:vAlign w:val="center"/>
          </w:tcPr>
          <w:p w14:paraId="32D6EB56">
            <w:pPr>
              <w:widowControl/>
              <w:jc w:val="center"/>
              <w:rPr>
                <w:rFonts w:ascii="宋体" w:hAnsi="宋体" w:cs="宋体"/>
                <w:sz w:val="24"/>
              </w:rPr>
            </w:pPr>
            <w:r>
              <w:rPr>
                <w:rFonts w:hint="eastAsia" w:ascii="宋体" w:hAnsi="宋体" w:cs="宋体"/>
                <w:sz w:val="24"/>
              </w:rPr>
              <w:t>0</w:t>
            </w:r>
          </w:p>
        </w:tc>
        <w:tc>
          <w:tcPr>
            <w:tcW w:w="2268" w:type="dxa"/>
            <w:vAlign w:val="center"/>
          </w:tcPr>
          <w:p w14:paraId="5B8CC08A">
            <w:pPr>
              <w:widowControl/>
              <w:jc w:val="center"/>
              <w:rPr>
                <w:rFonts w:ascii="宋体" w:hAnsi="宋体" w:cs="宋体"/>
                <w:sz w:val="24"/>
              </w:rPr>
            </w:pPr>
            <w:r>
              <w:rPr>
                <w:rFonts w:hint="eastAsia" w:ascii="宋体" w:hAnsi="宋体" w:cs="宋体"/>
                <w:sz w:val="24"/>
              </w:rPr>
              <w:t>6.62</w:t>
            </w:r>
          </w:p>
        </w:tc>
        <w:tc>
          <w:tcPr>
            <w:tcW w:w="2268" w:type="dxa"/>
            <w:vAlign w:val="center"/>
          </w:tcPr>
          <w:p w14:paraId="51C12EDB">
            <w:pPr>
              <w:widowControl/>
              <w:jc w:val="center"/>
              <w:rPr>
                <w:rFonts w:ascii="宋体" w:hAnsi="宋体" w:cs="宋体"/>
                <w:sz w:val="24"/>
              </w:rPr>
            </w:pPr>
            <w:r>
              <w:rPr>
                <w:rFonts w:hint="eastAsia" w:ascii="宋体" w:hAnsi="宋体" w:cs="宋体"/>
                <w:sz w:val="24"/>
              </w:rPr>
              <w:t>0</w:t>
            </w:r>
          </w:p>
        </w:tc>
        <w:tc>
          <w:tcPr>
            <w:tcW w:w="2268" w:type="dxa"/>
            <w:vAlign w:val="center"/>
          </w:tcPr>
          <w:p w14:paraId="038FEE89">
            <w:pPr>
              <w:widowControl/>
              <w:jc w:val="center"/>
              <w:rPr>
                <w:rFonts w:ascii="宋体" w:hAnsi="宋体" w:cs="宋体"/>
                <w:sz w:val="24"/>
              </w:rPr>
            </w:pPr>
            <w:r>
              <w:rPr>
                <w:rFonts w:hint="eastAsia" w:ascii="宋体" w:hAnsi="宋体" w:cs="宋体"/>
                <w:sz w:val="24"/>
              </w:rPr>
              <w:t>0.00%</w:t>
            </w:r>
          </w:p>
        </w:tc>
      </w:tr>
      <w:tr w14:paraId="7385B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40273092">
            <w:pPr>
              <w:widowControl/>
              <w:jc w:val="left"/>
              <w:rPr>
                <w:rFonts w:ascii="宋体" w:hAnsi="宋体" w:cs="宋体"/>
                <w:kern w:val="0"/>
                <w:sz w:val="24"/>
              </w:rPr>
            </w:pPr>
            <w:r>
              <w:rPr>
                <w:rFonts w:hint="eastAsia" w:ascii="宋体" w:hAnsi="宋体" w:cs="宋体"/>
                <w:sz w:val="24"/>
              </w:rPr>
              <w:t>物业管理费</w:t>
            </w:r>
          </w:p>
        </w:tc>
        <w:tc>
          <w:tcPr>
            <w:tcW w:w="2268" w:type="dxa"/>
            <w:vAlign w:val="center"/>
          </w:tcPr>
          <w:p w14:paraId="213763E6">
            <w:pPr>
              <w:widowControl/>
              <w:jc w:val="center"/>
              <w:rPr>
                <w:rFonts w:ascii="宋体" w:hAnsi="宋体" w:cs="宋体"/>
                <w:kern w:val="0"/>
                <w:sz w:val="24"/>
              </w:rPr>
            </w:pPr>
            <w:r>
              <w:rPr>
                <w:rFonts w:hint="eastAsia" w:ascii="宋体" w:hAnsi="宋体" w:cs="宋体"/>
                <w:sz w:val="24"/>
              </w:rPr>
              <w:t>14.6</w:t>
            </w:r>
          </w:p>
        </w:tc>
        <w:tc>
          <w:tcPr>
            <w:tcW w:w="2268" w:type="dxa"/>
            <w:vAlign w:val="center"/>
          </w:tcPr>
          <w:p w14:paraId="242C2B7D">
            <w:pPr>
              <w:widowControl/>
              <w:jc w:val="center"/>
              <w:rPr>
                <w:rFonts w:ascii="宋体" w:hAnsi="宋体" w:cs="宋体"/>
                <w:sz w:val="24"/>
              </w:rPr>
            </w:pPr>
            <w:r>
              <w:rPr>
                <w:rFonts w:hint="eastAsia" w:ascii="宋体" w:hAnsi="宋体" w:cs="宋体"/>
                <w:sz w:val="24"/>
              </w:rPr>
              <w:t>0</w:t>
            </w:r>
          </w:p>
        </w:tc>
        <w:tc>
          <w:tcPr>
            <w:tcW w:w="2268" w:type="dxa"/>
            <w:vAlign w:val="center"/>
          </w:tcPr>
          <w:p w14:paraId="0D5ABE54">
            <w:pPr>
              <w:widowControl/>
              <w:jc w:val="center"/>
              <w:rPr>
                <w:rFonts w:ascii="宋体" w:hAnsi="宋体" w:cs="宋体"/>
                <w:sz w:val="24"/>
              </w:rPr>
            </w:pPr>
            <w:r>
              <w:rPr>
                <w:rFonts w:hint="eastAsia" w:ascii="宋体" w:hAnsi="宋体" w:cs="宋体"/>
                <w:sz w:val="24"/>
              </w:rPr>
              <w:t>14.6</w:t>
            </w:r>
          </w:p>
        </w:tc>
        <w:tc>
          <w:tcPr>
            <w:tcW w:w="2268" w:type="dxa"/>
            <w:vAlign w:val="center"/>
          </w:tcPr>
          <w:p w14:paraId="79BD183E">
            <w:pPr>
              <w:widowControl/>
              <w:jc w:val="center"/>
              <w:rPr>
                <w:rFonts w:ascii="宋体" w:hAnsi="宋体" w:cs="宋体"/>
                <w:sz w:val="24"/>
              </w:rPr>
            </w:pPr>
            <w:r>
              <w:rPr>
                <w:rFonts w:hint="eastAsia" w:ascii="宋体" w:hAnsi="宋体" w:cs="宋体"/>
                <w:sz w:val="24"/>
              </w:rPr>
              <w:t>14.48</w:t>
            </w:r>
          </w:p>
        </w:tc>
        <w:tc>
          <w:tcPr>
            <w:tcW w:w="2268" w:type="dxa"/>
            <w:vAlign w:val="center"/>
          </w:tcPr>
          <w:p w14:paraId="3FF35B51">
            <w:pPr>
              <w:widowControl/>
              <w:jc w:val="center"/>
              <w:rPr>
                <w:rFonts w:ascii="宋体" w:hAnsi="宋体" w:cs="宋体"/>
                <w:sz w:val="24"/>
              </w:rPr>
            </w:pPr>
            <w:r>
              <w:rPr>
                <w:rFonts w:hint="eastAsia" w:ascii="宋体" w:hAnsi="宋体" w:cs="宋体"/>
                <w:sz w:val="24"/>
              </w:rPr>
              <w:t>99.18%</w:t>
            </w:r>
          </w:p>
        </w:tc>
      </w:tr>
      <w:tr w14:paraId="5465F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336F17F2">
            <w:pPr>
              <w:widowControl/>
              <w:jc w:val="left"/>
              <w:rPr>
                <w:rFonts w:ascii="宋体" w:hAnsi="宋体" w:cs="宋体"/>
                <w:kern w:val="0"/>
                <w:sz w:val="24"/>
              </w:rPr>
            </w:pPr>
            <w:r>
              <w:rPr>
                <w:rFonts w:hint="eastAsia" w:ascii="宋体" w:hAnsi="宋体" w:cs="宋体"/>
                <w:sz w:val="24"/>
              </w:rPr>
              <w:t>专项委托业务费</w:t>
            </w:r>
          </w:p>
        </w:tc>
        <w:tc>
          <w:tcPr>
            <w:tcW w:w="2268" w:type="dxa"/>
            <w:vAlign w:val="center"/>
          </w:tcPr>
          <w:p w14:paraId="01CC447F">
            <w:pPr>
              <w:widowControl/>
              <w:jc w:val="center"/>
              <w:rPr>
                <w:rFonts w:ascii="宋体" w:hAnsi="宋体" w:cs="宋体"/>
                <w:kern w:val="0"/>
                <w:sz w:val="24"/>
              </w:rPr>
            </w:pPr>
            <w:r>
              <w:rPr>
                <w:rFonts w:hint="eastAsia" w:ascii="宋体" w:hAnsi="宋体" w:cs="宋体"/>
                <w:sz w:val="24"/>
              </w:rPr>
              <w:t>2</w:t>
            </w:r>
          </w:p>
        </w:tc>
        <w:tc>
          <w:tcPr>
            <w:tcW w:w="2268" w:type="dxa"/>
            <w:vAlign w:val="center"/>
          </w:tcPr>
          <w:p w14:paraId="66216B39">
            <w:pPr>
              <w:widowControl/>
              <w:jc w:val="center"/>
              <w:rPr>
                <w:rFonts w:ascii="宋体" w:hAnsi="宋体" w:cs="宋体"/>
                <w:sz w:val="24"/>
              </w:rPr>
            </w:pPr>
            <w:r>
              <w:rPr>
                <w:rFonts w:hint="eastAsia" w:ascii="宋体" w:hAnsi="宋体" w:cs="宋体"/>
                <w:sz w:val="24"/>
              </w:rPr>
              <w:t>0</w:t>
            </w:r>
          </w:p>
        </w:tc>
        <w:tc>
          <w:tcPr>
            <w:tcW w:w="2268" w:type="dxa"/>
            <w:vAlign w:val="center"/>
          </w:tcPr>
          <w:p w14:paraId="77F9D739">
            <w:pPr>
              <w:widowControl/>
              <w:jc w:val="center"/>
              <w:rPr>
                <w:rFonts w:ascii="宋体" w:hAnsi="宋体" w:cs="宋体"/>
                <w:sz w:val="24"/>
              </w:rPr>
            </w:pPr>
            <w:r>
              <w:rPr>
                <w:rFonts w:hint="eastAsia" w:ascii="宋体" w:hAnsi="宋体" w:cs="宋体"/>
                <w:sz w:val="24"/>
              </w:rPr>
              <w:t>2</w:t>
            </w:r>
          </w:p>
        </w:tc>
        <w:tc>
          <w:tcPr>
            <w:tcW w:w="2268" w:type="dxa"/>
            <w:vAlign w:val="center"/>
          </w:tcPr>
          <w:p w14:paraId="067F85AD">
            <w:pPr>
              <w:widowControl/>
              <w:jc w:val="center"/>
              <w:rPr>
                <w:rFonts w:ascii="宋体" w:hAnsi="宋体" w:cs="宋体"/>
                <w:sz w:val="24"/>
              </w:rPr>
            </w:pPr>
            <w:r>
              <w:rPr>
                <w:rFonts w:hint="eastAsia" w:ascii="宋体" w:hAnsi="宋体" w:cs="宋体"/>
                <w:sz w:val="24"/>
              </w:rPr>
              <w:t>1.96</w:t>
            </w:r>
          </w:p>
        </w:tc>
        <w:tc>
          <w:tcPr>
            <w:tcW w:w="2268" w:type="dxa"/>
            <w:vAlign w:val="center"/>
          </w:tcPr>
          <w:p w14:paraId="0AAC9213">
            <w:pPr>
              <w:widowControl/>
              <w:jc w:val="center"/>
              <w:rPr>
                <w:rFonts w:ascii="宋体" w:hAnsi="宋体" w:cs="宋体"/>
                <w:sz w:val="24"/>
              </w:rPr>
            </w:pPr>
            <w:r>
              <w:rPr>
                <w:rFonts w:hint="eastAsia" w:ascii="宋体" w:hAnsi="宋体" w:cs="宋体"/>
                <w:sz w:val="24"/>
              </w:rPr>
              <w:t>98.00%</w:t>
            </w:r>
          </w:p>
        </w:tc>
      </w:tr>
      <w:tr w14:paraId="643CF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72D058A0">
            <w:pPr>
              <w:widowControl/>
              <w:jc w:val="left"/>
              <w:rPr>
                <w:rFonts w:ascii="宋体" w:hAnsi="宋体" w:cs="宋体"/>
                <w:kern w:val="0"/>
                <w:sz w:val="24"/>
              </w:rPr>
            </w:pPr>
            <w:r>
              <w:rPr>
                <w:rFonts w:hint="eastAsia" w:ascii="宋体" w:hAnsi="宋体" w:cs="宋体"/>
                <w:sz w:val="24"/>
              </w:rPr>
              <w:t>设备购置</w:t>
            </w:r>
          </w:p>
        </w:tc>
        <w:tc>
          <w:tcPr>
            <w:tcW w:w="2268" w:type="dxa"/>
            <w:vAlign w:val="center"/>
          </w:tcPr>
          <w:p w14:paraId="4B088998">
            <w:pPr>
              <w:widowControl/>
              <w:jc w:val="center"/>
              <w:rPr>
                <w:rFonts w:ascii="宋体" w:hAnsi="宋体" w:cs="宋体"/>
                <w:kern w:val="0"/>
                <w:sz w:val="24"/>
              </w:rPr>
            </w:pPr>
            <w:r>
              <w:rPr>
                <w:rFonts w:hint="eastAsia" w:ascii="宋体" w:hAnsi="宋体" w:cs="宋体"/>
                <w:sz w:val="24"/>
              </w:rPr>
              <w:t>3</w:t>
            </w:r>
          </w:p>
        </w:tc>
        <w:tc>
          <w:tcPr>
            <w:tcW w:w="2268" w:type="dxa"/>
            <w:vAlign w:val="center"/>
          </w:tcPr>
          <w:p w14:paraId="544A8AA3">
            <w:pPr>
              <w:widowControl/>
              <w:jc w:val="center"/>
              <w:rPr>
                <w:rFonts w:ascii="宋体" w:hAnsi="宋体" w:cs="宋体"/>
                <w:sz w:val="24"/>
              </w:rPr>
            </w:pPr>
            <w:r>
              <w:rPr>
                <w:rFonts w:hint="eastAsia" w:ascii="宋体" w:hAnsi="宋体" w:cs="宋体"/>
                <w:sz w:val="24"/>
              </w:rPr>
              <w:t>0</w:t>
            </w:r>
          </w:p>
        </w:tc>
        <w:tc>
          <w:tcPr>
            <w:tcW w:w="2268" w:type="dxa"/>
            <w:vAlign w:val="center"/>
          </w:tcPr>
          <w:p w14:paraId="7D07888D">
            <w:pPr>
              <w:widowControl/>
              <w:jc w:val="center"/>
              <w:rPr>
                <w:rFonts w:ascii="宋体" w:hAnsi="宋体" w:cs="宋体"/>
                <w:sz w:val="24"/>
              </w:rPr>
            </w:pPr>
            <w:r>
              <w:rPr>
                <w:rFonts w:hint="eastAsia" w:ascii="宋体" w:hAnsi="宋体" w:cs="宋体"/>
                <w:sz w:val="24"/>
              </w:rPr>
              <w:t>3</w:t>
            </w:r>
          </w:p>
        </w:tc>
        <w:tc>
          <w:tcPr>
            <w:tcW w:w="2268" w:type="dxa"/>
            <w:vAlign w:val="center"/>
          </w:tcPr>
          <w:p w14:paraId="5618D499">
            <w:pPr>
              <w:widowControl/>
              <w:jc w:val="center"/>
              <w:rPr>
                <w:rFonts w:ascii="宋体" w:hAnsi="宋体" w:cs="宋体"/>
                <w:sz w:val="24"/>
              </w:rPr>
            </w:pPr>
            <w:r>
              <w:rPr>
                <w:rFonts w:hint="eastAsia" w:ascii="宋体" w:hAnsi="宋体" w:cs="宋体"/>
                <w:sz w:val="24"/>
              </w:rPr>
              <w:t>2.43</w:t>
            </w:r>
          </w:p>
        </w:tc>
        <w:tc>
          <w:tcPr>
            <w:tcW w:w="2268" w:type="dxa"/>
            <w:vAlign w:val="center"/>
          </w:tcPr>
          <w:p w14:paraId="504C74E5">
            <w:pPr>
              <w:widowControl/>
              <w:jc w:val="center"/>
              <w:rPr>
                <w:rFonts w:ascii="宋体" w:hAnsi="宋体" w:cs="宋体"/>
                <w:sz w:val="24"/>
              </w:rPr>
            </w:pPr>
            <w:r>
              <w:rPr>
                <w:rFonts w:hint="eastAsia" w:ascii="宋体" w:hAnsi="宋体" w:cs="宋体"/>
                <w:sz w:val="24"/>
              </w:rPr>
              <w:t>81.00%</w:t>
            </w:r>
          </w:p>
        </w:tc>
      </w:tr>
      <w:tr w14:paraId="020E5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1ACAE3B1">
            <w:pPr>
              <w:widowControl/>
              <w:jc w:val="left"/>
              <w:rPr>
                <w:rFonts w:ascii="宋体" w:hAnsi="宋体" w:cs="宋体"/>
                <w:kern w:val="0"/>
                <w:sz w:val="24"/>
              </w:rPr>
            </w:pPr>
            <w:r>
              <w:rPr>
                <w:rFonts w:hint="eastAsia" w:ascii="宋体" w:hAnsi="宋体" w:cs="宋体"/>
                <w:sz w:val="24"/>
              </w:rPr>
              <w:t>专项业务用水用电用气</w:t>
            </w:r>
          </w:p>
        </w:tc>
        <w:tc>
          <w:tcPr>
            <w:tcW w:w="2268" w:type="dxa"/>
            <w:vAlign w:val="center"/>
          </w:tcPr>
          <w:p w14:paraId="4236CE8A">
            <w:pPr>
              <w:widowControl/>
              <w:jc w:val="center"/>
              <w:rPr>
                <w:rFonts w:ascii="宋体" w:hAnsi="宋体" w:cs="宋体"/>
                <w:kern w:val="0"/>
                <w:sz w:val="24"/>
              </w:rPr>
            </w:pPr>
            <w:r>
              <w:rPr>
                <w:rFonts w:hint="eastAsia" w:ascii="宋体" w:hAnsi="宋体" w:cs="宋体"/>
                <w:sz w:val="24"/>
              </w:rPr>
              <w:t>2.5</w:t>
            </w:r>
          </w:p>
        </w:tc>
        <w:tc>
          <w:tcPr>
            <w:tcW w:w="2268" w:type="dxa"/>
            <w:vAlign w:val="center"/>
          </w:tcPr>
          <w:p w14:paraId="7DE46662">
            <w:pPr>
              <w:widowControl/>
              <w:jc w:val="center"/>
              <w:rPr>
                <w:rFonts w:ascii="宋体" w:hAnsi="宋体" w:cs="宋体"/>
                <w:sz w:val="24"/>
              </w:rPr>
            </w:pPr>
            <w:r>
              <w:rPr>
                <w:rFonts w:hint="eastAsia" w:ascii="宋体" w:hAnsi="宋体" w:cs="宋体"/>
                <w:sz w:val="24"/>
              </w:rPr>
              <w:t>0</w:t>
            </w:r>
          </w:p>
        </w:tc>
        <w:tc>
          <w:tcPr>
            <w:tcW w:w="2268" w:type="dxa"/>
            <w:vAlign w:val="center"/>
          </w:tcPr>
          <w:p w14:paraId="1055BBF7">
            <w:pPr>
              <w:widowControl/>
              <w:jc w:val="center"/>
              <w:rPr>
                <w:rFonts w:ascii="宋体" w:hAnsi="宋体" w:cs="宋体"/>
                <w:sz w:val="24"/>
              </w:rPr>
            </w:pPr>
            <w:r>
              <w:rPr>
                <w:rFonts w:hint="eastAsia" w:ascii="宋体" w:hAnsi="宋体" w:cs="宋体"/>
                <w:sz w:val="24"/>
              </w:rPr>
              <w:t>2.5</w:t>
            </w:r>
          </w:p>
        </w:tc>
        <w:tc>
          <w:tcPr>
            <w:tcW w:w="2268" w:type="dxa"/>
            <w:vAlign w:val="center"/>
          </w:tcPr>
          <w:p w14:paraId="65C669D8">
            <w:pPr>
              <w:widowControl/>
              <w:jc w:val="center"/>
              <w:rPr>
                <w:rFonts w:ascii="宋体" w:hAnsi="宋体" w:cs="宋体"/>
                <w:sz w:val="24"/>
              </w:rPr>
            </w:pPr>
            <w:r>
              <w:rPr>
                <w:rFonts w:hint="eastAsia" w:ascii="宋体" w:hAnsi="宋体" w:cs="宋体"/>
                <w:sz w:val="24"/>
              </w:rPr>
              <w:t>2.5</w:t>
            </w:r>
          </w:p>
        </w:tc>
        <w:tc>
          <w:tcPr>
            <w:tcW w:w="2268" w:type="dxa"/>
            <w:vAlign w:val="center"/>
          </w:tcPr>
          <w:p w14:paraId="5A0CC8D4">
            <w:pPr>
              <w:widowControl/>
              <w:jc w:val="center"/>
              <w:rPr>
                <w:rFonts w:ascii="宋体" w:hAnsi="宋体" w:cs="宋体"/>
                <w:sz w:val="24"/>
              </w:rPr>
            </w:pPr>
            <w:r>
              <w:rPr>
                <w:rFonts w:hint="eastAsia" w:ascii="宋体" w:hAnsi="宋体" w:cs="宋体"/>
                <w:sz w:val="24"/>
              </w:rPr>
              <w:t>100.00%</w:t>
            </w:r>
          </w:p>
        </w:tc>
      </w:tr>
    </w:tbl>
    <w:p w14:paraId="131ACE80">
      <w:pPr>
        <w:spacing w:line="360" w:lineRule="auto"/>
        <w:ind w:left="600"/>
        <w:rPr>
          <w:rFonts w:ascii="黑体" w:hAnsi="黑体" w:eastAsia="黑体"/>
          <w:sz w:val="30"/>
        </w:rPr>
      </w:pPr>
    </w:p>
    <w:p w14:paraId="74045F82">
      <w:pPr>
        <w:numPr>
          <w:ilvl w:val="0"/>
          <w:numId w:val="1"/>
        </w:numPr>
        <w:spacing w:line="360" w:lineRule="auto"/>
        <w:ind w:left="600"/>
        <w:rPr>
          <w:rFonts w:ascii="黑体" w:hAnsi="黑体" w:eastAsia="黑体"/>
          <w:sz w:val="30"/>
        </w:rPr>
      </w:pPr>
      <w:r>
        <w:rPr>
          <w:rFonts w:hint="eastAsia" w:ascii="黑体" w:hAnsi="黑体" w:eastAsia="黑体"/>
          <w:sz w:val="30"/>
        </w:rPr>
        <w:t>年度重点任务</w:t>
      </w:r>
    </w:p>
    <w:p w14:paraId="0D3A1920">
      <w:pPr>
        <w:spacing w:line="360" w:lineRule="auto"/>
        <w:ind w:left="600"/>
        <w:rPr>
          <w:rFonts w:ascii="黑体" w:hAnsi="黑体" w:eastAsia="黑体"/>
          <w:sz w:val="30"/>
        </w:rPr>
      </w:pPr>
    </w:p>
    <w:tbl>
      <w:tblPr>
        <w:tblStyle w:val="5"/>
        <w:tblW w:w="13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9"/>
        <w:gridCol w:w="3818"/>
        <w:gridCol w:w="6280"/>
      </w:tblGrid>
      <w:tr w14:paraId="4FD8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419" w:type="dxa"/>
            <w:shd w:val="clear" w:color="000000" w:fill="BFBFBF"/>
            <w:vAlign w:val="center"/>
          </w:tcPr>
          <w:p w14:paraId="1644DE46">
            <w:pPr>
              <w:widowControl/>
              <w:jc w:val="center"/>
              <w:rPr>
                <w:rFonts w:ascii="宋体" w:hAnsi="宋体" w:cs="宋体"/>
                <w:b/>
                <w:bCs/>
                <w:kern w:val="0"/>
                <w:sz w:val="24"/>
              </w:rPr>
            </w:pPr>
          </w:p>
          <w:p w14:paraId="5858CDEA">
            <w:pPr>
              <w:widowControl/>
              <w:jc w:val="center"/>
              <w:rPr>
                <w:rFonts w:ascii="宋体" w:hAnsi="宋体" w:cs="宋体"/>
                <w:b/>
                <w:bCs/>
                <w:kern w:val="0"/>
                <w:sz w:val="24"/>
              </w:rPr>
            </w:pPr>
            <w:r>
              <w:rPr>
                <w:rFonts w:hint="eastAsia" w:ascii="宋体" w:hAnsi="宋体" w:cs="宋体"/>
                <w:b/>
                <w:bCs/>
                <w:kern w:val="0"/>
                <w:sz w:val="24"/>
              </w:rPr>
              <w:t>对应部门主要职责</w:t>
            </w:r>
          </w:p>
          <w:p w14:paraId="3F9E1C75">
            <w:pPr>
              <w:widowControl/>
              <w:jc w:val="center"/>
              <w:rPr>
                <w:rFonts w:ascii="宋体" w:hAnsi="宋体" w:cs="宋体"/>
                <w:b/>
                <w:bCs/>
                <w:kern w:val="0"/>
                <w:sz w:val="24"/>
              </w:rPr>
            </w:pPr>
          </w:p>
        </w:tc>
        <w:tc>
          <w:tcPr>
            <w:tcW w:w="3818" w:type="dxa"/>
            <w:shd w:val="clear" w:color="000000" w:fill="BFBFBF"/>
            <w:vAlign w:val="center"/>
          </w:tcPr>
          <w:p w14:paraId="561C96F1">
            <w:pPr>
              <w:widowControl/>
              <w:jc w:val="center"/>
              <w:rPr>
                <w:rFonts w:ascii="宋体" w:hAnsi="宋体" w:cs="宋体"/>
                <w:b/>
                <w:bCs/>
                <w:kern w:val="0"/>
                <w:sz w:val="24"/>
              </w:rPr>
            </w:pPr>
            <w:r>
              <w:rPr>
                <w:rFonts w:hint="eastAsia" w:ascii="宋体" w:hAnsi="宋体" w:cs="宋体"/>
                <w:b/>
                <w:bCs/>
                <w:kern w:val="0"/>
                <w:sz w:val="24"/>
              </w:rPr>
              <w:t>任务名称</w:t>
            </w:r>
          </w:p>
        </w:tc>
        <w:tc>
          <w:tcPr>
            <w:tcW w:w="6280" w:type="dxa"/>
            <w:shd w:val="clear" w:color="000000" w:fill="BFBFBF"/>
            <w:vAlign w:val="center"/>
          </w:tcPr>
          <w:p w14:paraId="77A795C7">
            <w:pPr>
              <w:widowControl/>
              <w:jc w:val="center"/>
              <w:rPr>
                <w:rFonts w:ascii="宋体" w:hAnsi="宋体" w:cs="宋体"/>
                <w:b/>
                <w:bCs/>
                <w:kern w:val="0"/>
                <w:sz w:val="24"/>
              </w:rPr>
            </w:pPr>
            <w:r>
              <w:rPr>
                <w:rFonts w:hint="eastAsia" w:ascii="宋体" w:hAnsi="宋体" w:cs="宋体"/>
                <w:b/>
                <w:bCs/>
                <w:kern w:val="0"/>
                <w:sz w:val="24"/>
              </w:rPr>
              <w:t>完成情况</w:t>
            </w:r>
          </w:p>
        </w:tc>
      </w:tr>
      <w:tr w14:paraId="40D8C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17EDD036">
            <w:pPr>
              <w:widowControl/>
              <w:jc w:val="center"/>
              <w:rPr>
                <w:rFonts w:ascii="宋体" w:hAnsi="宋体" w:cs="宋体"/>
                <w:kern w:val="0"/>
                <w:sz w:val="24"/>
              </w:rPr>
            </w:pPr>
            <w:r>
              <w:rPr>
                <w:rFonts w:hint="eastAsia" w:ascii="宋体" w:hAnsi="宋体" w:cs="宋体"/>
                <w:sz w:val="24"/>
              </w:rPr>
              <w:t>电波秩序维护</w:t>
            </w:r>
          </w:p>
        </w:tc>
        <w:tc>
          <w:tcPr>
            <w:tcW w:w="3818" w:type="dxa"/>
            <w:vAlign w:val="center"/>
          </w:tcPr>
          <w:p w14:paraId="7E250CBD">
            <w:pPr>
              <w:widowControl/>
              <w:jc w:val="center"/>
              <w:rPr>
                <w:rFonts w:ascii="宋体" w:hAnsi="宋体" w:cs="宋体"/>
                <w:sz w:val="24"/>
              </w:rPr>
            </w:pPr>
            <w:r>
              <w:rPr>
                <w:rFonts w:hint="eastAsia" w:ascii="宋体" w:hAnsi="宋体" w:cs="宋体"/>
                <w:sz w:val="24"/>
              </w:rPr>
              <w:t>查找未经许可或未按照许可事项使用无线电频率、设置无线电台站</w:t>
            </w:r>
          </w:p>
        </w:tc>
        <w:tc>
          <w:tcPr>
            <w:tcW w:w="6280" w:type="dxa"/>
            <w:vAlign w:val="center"/>
          </w:tcPr>
          <w:p w14:paraId="39E0038C">
            <w:pPr>
              <w:widowControl/>
              <w:jc w:val="center"/>
              <w:rPr>
                <w:rFonts w:ascii="宋体" w:hAnsi="宋体" w:cs="宋体"/>
                <w:sz w:val="24"/>
              </w:rPr>
            </w:pPr>
            <w:r>
              <w:rPr>
                <w:rFonts w:hint="eastAsia" w:ascii="宋体" w:hAnsi="宋体" w:cs="宋体"/>
                <w:sz w:val="24"/>
              </w:rPr>
              <w:t>全年累计查处并立案4起非法设台用频行为，包括取缔施工现场非法设台及查处学校周边非法手机信号放大器 。</w:t>
            </w:r>
          </w:p>
        </w:tc>
      </w:tr>
      <w:tr w14:paraId="456FD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5C8524F3">
            <w:pPr>
              <w:widowControl/>
              <w:jc w:val="center"/>
              <w:rPr>
                <w:rFonts w:ascii="宋体" w:hAnsi="宋体" w:cs="宋体"/>
                <w:kern w:val="0"/>
                <w:sz w:val="24"/>
              </w:rPr>
            </w:pPr>
          </w:p>
        </w:tc>
        <w:tc>
          <w:tcPr>
            <w:tcW w:w="3818" w:type="dxa"/>
            <w:vAlign w:val="center"/>
          </w:tcPr>
          <w:p w14:paraId="7F1D5FF1">
            <w:pPr>
              <w:widowControl/>
              <w:jc w:val="center"/>
              <w:rPr>
                <w:rFonts w:ascii="宋体" w:hAnsi="宋体" w:cs="宋体"/>
                <w:sz w:val="24"/>
              </w:rPr>
            </w:pPr>
            <w:r>
              <w:rPr>
                <w:rFonts w:hint="eastAsia" w:ascii="宋体" w:hAnsi="宋体" w:cs="宋体"/>
                <w:sz w:val="24"/>
              </w:rPr>
              <w:t>打击黑广播、伪基 站、电信诈骗设备</w:t>
            </w:r>
          </w:p>
        </w:tc>
        <w:tc>
          <w:tcPr>
            <w:tcW w:w="6280" w:type="dxa"/>
            <w:vAlign w:val="center"/>
          </w:tcPr>
          <w:p w14:paraId="51E0633A">
            <w:pPr>
              <w:widowControl/>
              <w:jc w:val="center"/>
              <w:rPr>
                <w:rFonts w:ascii="宋体" w:hAnsi="宋体" w:cs="宋体"/>
                <w:sz w:val="24"/>
              </w:rPr>
            </w:pPr>
            <w:r>
              <w:rPr>
                <w:rFonts w:hint="eastAsia" w:ascii="宋体" w:hAnsi="宋体" w:cs="宋体"/>
                <w:sz w:val="24"/>
              </w:rPr>
              <w:t>境内未发现相关违法犯罪活动，按月准时报送统计表 。</w:t>
            </w:r>
          </w:p>
        </w:tc>
      </w:tr>
      <w:tr w14:paraId="2A85F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419F2D32">
            <w:pPr>
              <w:widowControl/>
              <w:jc w:val="center"/>
              <w:rPr>
                <w:rFonts w:ascii="宋体" w:hAnsi="宋体" w:cs="宋体"/>
                <w:kern w:val="0"/>
                <w:sz w:val="24"/>
              </w:rPr>
            </w:pPr>
          </w:p>
        </w:tc>
        <w:tc>
          <w:tcPr>
            <w:tcW w:w="3818" w:type="dxa"/>
            <w:vAlign w:val="center"/>
          </w:tcPr>
          <w:p w14:paraId="6CBD6F20">
            <w:pPr>
              <w:widowControl/>
              <w:jc w:val="center"/>
              <w:rPr>
                <w:rFonts w:ascii="宋体" w:hAnsi="宋体" w:cs="宋体"/>
                <w:sz w:val="24"/>
              </w:rPr>
            </w:pPr>
            <w:r>
              <w:rPr>
                <w:rFonts w:hint="eastAsia" w:ascii="宋体" w:hAnsi="宋体" w:cs="宋体"/>
                <w:sz w:val="24"/>
              </w:rPr>
              <w:t>重要考试保障</w:t>
            </w:r>
          </w:p>
        </w:tc>
        <w:tc>
          <w:tcPr>
            <w:tcW w:w="6280" w:type="dxa"/>
            <w:vAlign w:val="center"/>
          </w:tcPr>
          <w:p w14:paraId="54EB07D6">
            <w:pPr>
              <w:widowControl/>
              <w:jc w:val="center"/>
              <w:rPr>
                <w:rFonts w:ascii="宋体" w:hAnsi="宋体" w:cs="宋体"/>
                <w:sz w:val="24"/>
              </w:rPr>
            </w:pPr>
            <w:r>
              <w:rPr>
                <w:rFonts w:hint="eastAsia" w:ascii="宋体" w:hAnsi="宋体" w:cs="宋体"/>
                <w:sz w:val="24"/>
              </w:rPr>
              <w:t>圆满完成高考、中考、国考等25项国家及省市级考试保障，实现零失误、零通报 。</w:t>
            </w:r>
          </w:p>
        </w:tc>
      </w:tr>
      <w:tr w14:paraId="233B1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0B5E1002">
            <w:pPr>
              <w:widowControl/>
              <w:jc w:val="center"/>
              <w:rPr>
                <w:rFonts w:ascii="宋体" w:hAnsi="宋体" w:cs="宋体"/>
                <w:kern w:val="0"/>
                <w:sz w:val="24"/>
              </w:rPr>
            </w:pPr>
          </w:p>
        </w:tc>
        <w:tc>
          <w:tcPr>
            <w:tcW w:w="3818" w:type="dxa"/>
            <w:vAlign w:val="center"/>
          </w:tcPr>
          <w:p w14:paraId="65D9D1A9">
            <w:pPr>
              <w:widowControl/>
              <w:jc w:val="center"/>
              <w:rPr>
                <w:rFonts w:ascii="宋体" w:hAnsi="宋体" w:cs="宋体"/>
                <w:sz w:val="24"/>
              </w:rPr>
            </w:pPr>
            <w:r>
              <w:rPr>
                <w:rFonts w:hint="eastAsia" w:ascii="宋体" w:hAnsi="宋体" w:cs="宋体"/>
                <w:sz w:val="24"/>
              </w:rPr>
              <w:t>重大活动、重大任务保障</w:t>
            </w:r>
          </w:p>
        </w:tc>
        <w:tc>
          <w:tcPr>
            <w:tcW w:w="6280" w:type="dxa"/>
            <w:vAlign w:val="center"/>
          </w:tcPr>
          <w:p w14:paraId="0D71144F">
            <w:pPr>
              <w:widowControl/>
              <w:jc w:val="center"/>
              <w:rPr>
                <w:rFonts w:ascii="宋体" w:hAnsi="宋体" w:cs="宋体"/>
                <w:sz w:val="24"/>
              </w:rPr>
            </w:pPr>
            <w:r>
              <w:rPr>
                <w:rFonts w:hint="eastAsia" w:ascii="宋体" w:hAnsi="宋体" w:cs="宋体"/>
                <w:sz w:val="24"/>
              </w:rPr>
              <w:t>完成元旦春节、全国两会</w:t>
            </w:r>
            <w:bookmarkStart w:id="0" w:name="_GoBack"/>
            <w:bookmarkEnd w:id="0"/>
            <w:r>
              <w:rPr>
                <w:rFonts w:hint="eastAsia" w:ascii="宋体" w:hAnsi="宋体" w:cs="宋体"/>
                <w:sz w:val="24"/>
              </w:rPr>
              <w:t>、森林防灭火、低空经济测试、“苏超”赛事、第七届CRAC大会等重大保障，未发生无线电安全事件 。</w:t>
            </w:r>
          </w:p>
        </w:tc>
      </w:tr>
      <w:tr w14:paraId="7B84F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43DD9068">
            <w:pPr>
              <w:widowControl/>
              <w:jc w:val="center"/>
              <w:rPr>
                <w:rFonts w:ascii="宋体" w:hAnsi="宋体" w:cs="宋体"/>
                <w:kern w:val="0"/>
                <w:sz w:val="24"/>
              </w:rPr>
            </w:pPr>
            <w:r>
              <w:rPr>
                <w:rFonts w:hint="eastAsia" w:ascii="宋体" w:hAnsi="宋体" w:cs="宋体"/>
                <w:sz w:val="24"/>
              </w:rPr>
              <w:t>技术设施维护</w:t>
            </w:r>
          </w:p>
        </w:tc>
        <w:tc>
          <w:tcPr>
            <w:tcW w:w="3818" w:type="dxa"/>
            <w:vAlign w:val="center"/>
          </w:tcPr>
          <w:p w14:paraId="65E209EB">
            <w:pPr>
              <w:widowControl/>
              <w:jc w:val="center"/>
              <w:rPr>
                <w:rFonts w:ascii="宋体" w:hAnsi="宋体" w:cs="宋体"/>
                <w:sz w:val="24"/>
              </w:rPr>
            </w:pPr>
            <w:r>
              <w:rPr>
                <w:rFonts w:hint="eastAsia" w:ascii="宋体" w:hAnsi="宋体" w:cs="宋体"/>
                <w:sz w:val="24"/>
              </w:rPr>
              <w:t>监测信息化平台</w:t>
            </w:r>
          </w:p>
        </w:tc>
        <w:tc>
          <w:tcPr>
            <w:tcW w:w="6280" w:type="dxa"/>
            <w:vAlign w:val="center"/>
          </w:tcPr>
          <w:p w14:paraId="49A91435">
            <w:pPr>
              <w:widowControl/>
              <w:jc w:val="center"/>
              <w:rPr>
                <w:rFonts w:ascii="宋体" w:hAnsi="宋体" w:cs="宋体"/>
                <w:sz w:val="24"/>
              </w:rPr>
            </w:pPr>
            <w:r>
              <w:rPr>
                <w:rFonts w:hint="eastAsia" w:ascii="宋体" w:hAnsi="宋体" w:cs="宋体"/>
                <w:sz w:val="24"/>
              </w:rPr>
              <w:t>一体化平台业务服务调用成功率（固定站实时在线率）达100% 。</w:t>
            </w:r>
          </w:p>
        </w:tc>
      </w:tr>
      <w:tr w14:paraId="1A491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2FEE36DD">
            <w:pPr>
              <w:widowControl/>
              <w:jc w:val="center"/>
              <w:rPr>
                <w:rFonts w:ascii="宋体" w:hAnsi="宋体" w:cs="宋体"/>
                <w:kern w:val="0"/>
                <w:sz w:val="24"/>
              </w:rPr>
            </w:pPr>
          </w:p>
        </w:tc>
        <w:tc>
          <w:tcPr>
            <w:tcW w:w="3818" w:type="dxa"/>
            <w:vAlign w:val="center"/>
          </w:tcPr>
          <w:p w14:paraId="1D50A5F6">
            <w:pPr>
              <w:widowControl/>
              <w:jc w:val="center"/>
              <w:rPr>
                <w:rFonts w:ascii="宋体" w:hAnsi="宋体" w:cs="宋体"/>
                <w:sz w:val="24"/>
              </w:rPr>
            </w:pPr>
            <w:r>
              <w:rPr>
                <w:rFonts w:hint="eastAsia" w:ascii="宋体" w:hAnsi="宋体" w:cs="宋体"/>
                <w:sz w:val="24"/>
              </w:rPr>
              <w:t>监测设施维护</w:t>
            </w:r>
          </w:p>
        </w:tc>
        <w:tc>
          <w:tcPr>
            <w:tcW w:w="6280" w:type="dxa"/>
            <w:vAlign w:val="center"/>
          </w:tcPr>
          <w:p w14:paraId="2467764F">
            <w:pPr>
              <w:widowControl/>
              <w:jc w:val="center"/>
              <w:rPr>
                <w:rFonts w:ascii="宋体" w:hAnsi="宋体" w:cs="宋体"/>
                <w:sz w:val="24"/>
              </w:rPr>
            </w:pPr>
            <w:r>
              <w:rPr>
                <w:rFonts w:hint="eastAsia" w:ascii="宋体" w:hAnsi="宋体" w:cs="宋体"/>
                <w:sz w:val="24"/>
              </w:rPr>
              <w:t>全市监测设备完好率100%，固定站与移动站接入率100%；执行季度巡检，完成8起突发故障闭环处理 。</w:t>
            </w:r>
          </w:p>
        </w:tc>
      </w:tr>
      <w:tr w14:paraId="7910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3D954A15">
            <w:pPr>
              <w:widowControl/>
              <w:jc w:val="center"/>
              <w:rPr>
                <w:rFonts w:ascii="宋体" w:hAnsi="宋体" w:cs="宋体"/>
                <w:kern w:val="0"/>
                <w:sz w:val="24"/>
              </w:rPr>
            </w:pPr>
            <w:r>
              <w:rPr>
                <w:rFonts w:hint="eastAsia" w:ascii="宋体" w:hAnsi="宋体" w:cs="宋体"/>
                <w:sz w:val="24"/>
              </w:rPr>
              <w:t>监督检查</w:t>
            </w:r>
          </w:p>
        </w:tc>
        <w:tc>
          <w:tcPr>
            <w:tcW w:w="3818" w:type="dxa"/>
            <w:vAlign w:val="center"/>
          </w:tcPr>
          <w:p w14:paraId="34CE36DF">
            <w:pPr>
              <w:widowControl/>
              <w:jc w:val="center"/>
              <w:rPr>
                <w:rFonts w:ascii="宋体" w:hAnsi="宋体" w:cs="宋体"/>
                <w:sz w:val="24"/>
              </w:rPr>
            </w:pPr>
            <w:r>
              <w:rPr>
                <w:rFonts w:hint="eastAsia" w:ascii="宋体" w:hAnsi="宋体" w:cs="宋体"/>
                <w:sz w:val="24"/>
              </w:rPr>
              <w:t>无线电频率使用监督检查（技术指标检查部分）</w:t>
            </w:r>
          </w:p>
        </w:tc>
        <w:tc>
          <w:tcPr>
            <w:tcW w:w="6280" w:type="dxa"/>
            <w:vAlign w:val="center"/>
          </w:tcPr>
          <w:p w14:paraId="22F8084F">
            <w:pPr>
              <w:widowControl/>
              <w:jc w:val="center"/>
              <w:rPr>
                <w:rFonts w:ascii="宋体" w:hAnsi="宋体" w:cs="宋体"/>
                <w:sz w:val="24"/>
              </w:rPr>
            </w:pPr>
            <w:r>
              <w:rPr>
                <w:rFonts w:hint="eastAsia" w:ascii="宋体" w:hAnsi="宋体" w:cs="宋体"/>
                <w:sz w:val="24"/>
              </w:rPr>
              <w:t>执行部级发射设备监督检查，抽样产品26个（占全省78%）；完成27家重点企业频率使用检查 。</w:t>
            </w:r>
          </w:p>
        </w:tc>
      </w:tr>
      <w:tr w14:paraId="0CC01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638B3062">
            <w:pPr>
              <w:widowControl/>
              <w:jc w:val="center"/>
              <w:rPr>
                <w:rFonts w:ascii="宋体" w:hAnsi="宋体" w:cs="宋体"/>
                <w:kern w:val="0"/>
                <w:sz w:val="24"/>
              </w:rPr>
            </w:pPr>
          </w:p>
        </w:tc>
        <w:tc>
          <w:tcPr>
            <w:tcW w:w="3818" w:type="dxa"/>
            <w:vAlign w:val="center"/>
          </w:tcPr>
          <w:p w14:paraId="4E135FC5">
            <w:pPr>
              <w:widowControl/>
              <w:jc w:val="center"/>
              <w:rPr>
                <w:rFonts w:ascii="宋体" w:hAnsi="宋体" w:cs="宋体"/>
                <w:sz w:val="24"/>
              </w:rPr>
            </w:pPr>
            <w:r>
              <w:rPr>
                <w:rFonts w:hint="eastAsia" w:ascii="宋体" w:hAnsi="宋体" w:cs="宋体"/>
                <w:sz w:val="24"/>
              </w:rPr>
              <w:t>在用无线电台（站）监督检查（技术指标检查部分）</w:t>
            </w:r>
          </w:p>
        </w:tc>
        <w:tc>
          <w:tcPr>
            <w:tcW w:w="6280" w:type="dxa"/>
            <w:vAlign w:val="center"/>
          </w:tcPr>
          <w:p w14:paraId="5E0815E0">
            <w:pPr>
              <w:widowControl/>
              <w:jc w:val="center"/>
              <w:rPr>
                <w:rFonts w:ascii="宋体" w:hAnsi="宋体" w:cs="宋体"/>
                <w:sz w:val="24"/>
              </w:rPr>
            </w:pPr>
            <w:r>
              <w:rPr>
                <w:rFonts w:hint="eastAsia" w:ascii="宋体" w:hAnsi="宋体" w:cs="宋体"/>
                <w:sz w:val="24"/>
              </w:rPr>
              <w:t>累计开展现场检查81次；完成工信部15瓦以上业余电台专项检查（占全省75%）及27家重点企业台站检查 。</w:t>
            </w:r>
          </w:p>
        </w:tc>
      </w:tr>
      <w:tr w14:paraId="638E1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3E11940F">
            <w:pPr>
              <w:widowControl/>
              <w:jc w:val="center"/>
              <w:rPr>
                <w:rFonts w:ascii="宋体" w:hAnsi="宋体" w:cs="宋体"/>
                <w:kern w:val="0"/>
                <w:sz w:val="24"/>
              </w:rPr>
            </w:pPr>
          </w:p>
        </w:tc>
        <w:tc>
          <w:tcPr>
            <w:tcW w:w="3818" w:type="dxa"/>
            <w:vAlign w:val="center"/>
          </w:tcPr>
          <w:p w14:paraId="54F5EE81">
            <w:pPr>
              <w:widowControl/>
              <w:jc w:val="center"/>
              <w:rPr>
                <w:rFonts w:ascii="宋体" w:hAnsi="宋体" w:cs="宋体"/>
                <w:sz w:val="24"/>
              </w:rPr>
            </w:pPr>
            <w:r>
              <w:rPr>
                <w:rFonts w:hint="eastAsia" w:ascii="宋体" w:hAnsi="宋体" w:cs="宋体"/>
                <w:sz w:val="24"/>
              </w:rPr>
              <w:t>无线电发射设备管理</w:t>
            </w:r>
          </w:p>
        </w:tc>
        <w:tc>
          <w:tcPr>
            <w:tcW w:w="6280" w:type="dxa"/>
            <w:vAlign w:val="center"/>
          </w:tcPr>
          <w:p w14:paraId="670F50CF">
            <w:pPr>
              <w:widowControl/>
              <w:jc w:val="center"/>
              <w:rPr>
                <w:rFonts w:ascii="宋体" w:hAnsi="宋体" w:cs="宋体"/>
                <w:sz w:val="24"/>
              </w:rPr>
            </w:pPr>
            <w:r>
              <w:rPr>
                <w:rFonts w:hint="eastAsia" w:ascii="宋体" w:hAnsi="宋体" w:cs="宋体"/>
                <w:sz w:val="24"/>
              </w:rPr>
              <w:t>按季度完成线上线下销售巡检；开展“万能遥控器”及考场屏蔽设备专项治理，查处销售未获核准设备案2起 。</w:t>
            </w:r>
          </w:p>
        </w:tc>
      </w:tr>
      <w:tr w14:paraId="1C663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6E33DF9E">
            <w:pPr>
              <w:widowControl/>
              <w:jc w:val="center"/>
              <w:rPr>
                <w:rFonts w:ascii="宋体" w:hAnsi="宋体" w:cs="宋体"/>
                <w:kern w:val="0"/>
                <w:sz w:val="24"/>
              </w:rPr>
            </w:pPr>
            <w:r>
              <w:rPr>
                <w:rFonts w:hint="eastAsia" w:ascii="宋体" w:hAnsi="宋体" w:cs="宋体"/>
                <w:sz w:val="24"/>
              </w:rPr>
              <w:t>无线电监测和干扰查处</w:t>
            </w:r>
          </w:p>
        </w:tc>
        <w:tc>
          <w:tcPr>
            <w:tcW w:w="3818" w:type="dxa"/>
            <w:vAlign w:val="center"/>
          </w:tcPr>
          <w:p w14:paraId="45BF7CB3">
            <w:pPr>
              <w:widowControl/>
              <w:jc w:val="center"/>
              <w:rPr>
                <w:rFonts w:ascii="宋体" w:hAnsi="宋体" w:cs="宋体"/>
                <w:sz w:val="24"/>
              </w:rPr>
            </w:pPr>
            <w:r>
              <w:rPr>
                <w:rFonts w:hint="eastAsia" w:ascii="宋体" w:hAnsi="宋体" w:cs="宋体"/>
                <w:sz w:val="24"/>
              </w:rPr>
              <w:t>月报报送</w:t>
            </w:r>
          </w:p>
        </w:tc>
        <w:tc>
          <w:tcPr>
            <w:tcW w:w="6280" w:type="dxa"/>
            <w:vAlign w:val="center"/>
          </w:tcPr>
          <w:p w14:paraId="6E54E3EB">
            <w:pPr>
              <w:widowControl/>
              <w:jc w:val="center"/>
              <w:rPr>
                <w:rFonts w:ascii="宋体" w:hAnsi="宋体" w:cs="宋体"/>
                <w:sz w:val="24"/>
              </w:rPr>
            </w:pPr>
            <w:r>
              <w:rPr>
                <w:rFonts w:hint="eastAsia" w:ascii="宋体" w:hAnsi="宋体" w:cs="宋体"/>
                <w:sz w:val="24"/>
              </w:rPr>
              <w:t>各类干扰查处、执法统计及黑广播/伪基站情况均实现按月准时报送，无错漏或逾期 。</w:t>
            </w:r>
          </w:p>
        </w:tc>
      </w:tr>
      <w:tr w14:paraId="2EA05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7AA5812E">
            <w:pPr>
              <w:widowControl/>
              <w:jc w:val="center"/>
              <w:rPr>
                <w:rFonts w:ascii="宋体" w:hAnsi="宋体" w:cs="宋体"/>
                <w:kern w:val="0"/>
                <w:sz w:val="24"/>
              </w:rPr>
            </w:pPr>
          </w:p>
        </w:tc>
        <w:tc>
          <w:tcPr>
            <w:tcW w:w="3818" w:type="dxa"/>
            <w:vAlign w:val="center"/>
          </w:tcPr>
          <w:p w14:paraId="4FECDC18">
            <w:pPr>
              <w:widowControl/>
              <w:jc w:val="center"/>
              <w:rPr>
                <w:rFonts w:ascii="宋体" w:hAnsi="宋体" w:cs="宋体"/>
                <w:sz w:val="24"/>
              </w:rPr>
            </w:pPr>
            <w:r>
              <w:rPr>
                <w:rFonts w:hint="eastAsia" w:ascii="宋体" w:hAnsi="宋体" w:cs="宋体"/>
                <w:sz w:val="24"/>
              </w:rPr>
              <w:t>干扰查处</w:t>
            </w:r>
          </w:p>
        </w:tc>
        <w:tc>
          <w:tcPr>
            <w:tcW w:w="6280" w:type="dxa"/>
            <w:vAlign w:val="center"/>
          </w:tcPr>
          <w:p w14:paraId="5A2B3072">
            <w:pPr>
              <w:widowControl/>
              <w:jc w:val="center"/>
              <w:rPr>
                <w:rFonts w:ascii="宋体" w:hAnsi="宋体" w:cs="宋体"/>
                <w:sz w:val="24"/>
              </w:rPr>
            </w:pPr>
            <w:r>
              <w:rPr>
                <w:rFonts w:hint="eastAsia" w:ascii="宋体" w:hAnsi="宋体" w:cs="宋体"/>
                <w:sz w:val="24"/>
              </w:rPr>
              <w:t>累计受理并办结25起投诉，查处率100%；涵盖公众通信、高铁（7起）、气象雷达及广电卫星等领域 。</w:t>
            </w:r>
          </w:p>
        </w:tc>
      </w:tr>
      <w:tr w14:paraId="1B7A8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312378D7">
            <w:pPr>
              <w:widowControl/>
              <w:jc w:val="center"/>
              <w:rPr>
                <w:rFonts w:ascii="宋体" w:hAnsi="宋体" w:cs="宋体"/>
                <w:kern w:val="0"/>
                <w:sz w:val="24"/>
              </w:rPr>
            </w:pPr>
          </w:p>
        </w:tc>
        <w:tc>
          <w:tcPr>
            <w:tcW w:w="3818" w:type="dxa"/>
            <w:vAlign w:val="center"/>
          </w:tcPr>
          <w:p w14:paraId="3458698D">
            <w:pPr>
              <w:widowControl/>
              <w:jc w:val="center"/>
              <w:rPr>
                <w:rFonts w:ascii="宋体" w:hAnsi="宋体" w:cs="宋体"/>
                <w:sz w:val="24"/>
              </w:rPr>
            </w:pPr>
            <w:r>
              <w:rPr>
                <w:rFonts w:hint="eastAsia" w:ascii="宋体" w:hAnsi="宋体" w:cs="宋体"/>
                <w:sz w:val="24"/>
              </w:rPr>
              <w:t>日常监测</w:t>
            </w:r>
          </w:p>
        </w:tc>
        <w:tc>
          <w:tcPr>
            <w:tcW w:w="6280" w:type="dxa"/>
            <w:vAlign w:val="center"/>
          </w:tcPr>
          <w:p w14:paraId="6F80BB0A">
            <w:pPr>
              <w:widowControl/>
              <w:jc w:val="center"/>
              <w:rPr>
                <w:rFonts w:ascii="宋体" w:hAnsi="宋体" w:cs="宋体"/>
                <w:sz w:val="24"/>
              </w:rPr>
            </w:pPr>
            <w:r>
              <w:rPr>
                <w:rFonts w:hint="eastAsia" w:ascii="宋体" w:hAnsi="宋体" w:cs="宋体"/>
                <w:sz w:val="24"/>
              </w:rPr>
              <w:t>通过网络基础设施运维方案及巡检确保监测数据实时上传，系统运行稳定 。</w:t>
            </w:r>
          </w:p>
        </w:tc>
      </w:tr>
      <w:tr w14:paraId="59E5C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3F343294">
            <w:pPr>
              <w:widowControl/>
              <w:jc w:val="center"/>
              <w:rPr>
                <w:rFonts w:ascii="宋体" w:hAnsi="宋体" w:cs="宋体"/>
                <w:kern w:val="0"/>
                <w:sz w:val="24"/>
              </w:rPr>
            </w:pPr>
            <w:r>
              <w:rPr>
                <w:rFonts w:hint="eastAsia" w:ascii="宋体" w:hAnsi="宋体" w:cs="宋体"/>
                <w:sz w:val="24"/>
              </w:rPr>
              <w:t>无线电频率、 台站管理</w:t>
            </w:r>
          </w:p>
        </w:tc>
        <w:tc>
          <w:tcPr>
            <w:tcW w:w="3818" w:type="dxa"/>
            <w:vAlign w:val="center"/>
          </w:tcPr>
          <w:p w14:paraId="1A2D379F">
            <w:pPr>
              <w:widowControl/>
              <w:jc w:val="center"/>
              <w:rPr>
                <w:rFonts w:ascii="宋体" w:hAnsi="宋体" w:cs="宋体"/>
                <w:sz w:val="24"/>
              </w:rPr>
            </w:pPr>
            <w:r>
              <w:rPr>
                <w:rFonts w:hint="eastAsia" w:ascii="宋体" w:hAnsi="宋体" w:cs="宋体"/>
                <w:sz w:val="24"/>
              </w:rPr>
              <w:t>频率许可事前监测</w:t>
            </w:r>
          </w:p>
        </w:tc>
        <w:tc>
          <w:tcPr>
            <w:tcW w:w="6280" w:type="dxa"/>
            <w:vAlign w:val="center"/>
          </w:tcPr>
          <w:p w14:paraId="5D1534D8">
            <w:pPr>
              <w:widowControl/>
              <w:jc w:val="center"/>
              <w:rPr>
                <w:rFonts w:ascii="宋体" w:hAnsi="宋体" w:cs="宋体"/>
                <w:sz w:val="24"/>
              </w:rPr>
            </w:pPr>
            <w:r>
              <w:rPr>
                <w:rFonts w:hint="eastAsia" w:ascii="宋体" w:hAnsi="宋体" w:cs="宋体"/>
                <w:sz w:val="24"/>
              </w:rPr>
              <w:t>为天齐锂业等30家重点企事业单位精准指配频率 ；为智慧尘埃等企业完成8项实效发射试验用频报备 。</w:t>
            </w:r>
          </w:p>
        </w:tc>
      </w:tr>
      <w:tr w14:paraId="7ED68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5422B5DB">
            <w:pPr>
              <w:widowControl/>
              <w:jc w:val="center"/>
              <w:rPr>
                <w:rFonts w:ascii="宋体" w:hAnsi="宋体" w:cs="宋体"/>
                <w:kern w:val="0"/>
                <w:sz w:val="24"/>
              </w:rPr>
            </w:pPr>
          </w:p>
        </w:tc>
        <w:tc>
          <w:tcPr>
            <w:tcW w:w="3818" w:type="dxa"/>
            <w:vAlign w:val="center"/>
          </w:tcPr>
          <w:p w14:paraId="1257EA3D">
            <w:pPr>
              <w:widowControl/>
              <w:jc w:val="center"/>
              <w:rPr>
                <w:rFonts w:ascii="宋体" w:hAnsi="宋体" w:cs="宋体"/>
                <w:sz w:val="24"/>
              </w:rPr>
            </w:pPr>
            <w:r>
              <w:rPr>
                <w:rFonts w:hint="eastAsia" w:ascii="宋体" w:hAnsi="宋体" w:cs="宋体"/>
                <w:sz w:val="24"/>
              </w:rPr>
              <w:t>台站许可事前检测</w:t>
            </w:r>
          </w:p>
        </w:tc>
        <w:tc>
          <w:tcPr>
            <w:tcW w:w="6280" w:type="dxa"/>
            <w:vAlign w:val="center"/>
          </w:tcPr>
          <w:p w14:paraId="6A518469">
            <w:pPr>
              <w:widowControl/>
              <w:jc w:val="center"/>
              <w:rPr>
                <w:rFonts w:ascii="宋体" w:hAnsi="宋体" w:cs="宋体"/>
                <w:sz w:val="24"/>
              </w:rPr>
            </w:pPr>
            <w:r>
              <w:rPr>
                <w:rFonts w:hint="eastAsia" w:ascii="宋体" w:hAnsi="宋体" w:cs="宋体"/>
                <w:sz w:val="24"/>
              </w:rPr>
              <w:t>完成67个地面无线电台站的属性数据核查与质量评价 ；全年核发无线电台识别码296个 。</w:t>
            </w:r>
          </w:p>
        </w:tc>
      </w:tr>
    </w:tbl>
    <w:p w14:paraId="24A38881">
      <w:pPr>
        <w:spacing w:line="360" w:lineRule="auto"/>
        <w:ind w:left="600"/>
        <w:rPr>
          <w:rFonts w:ascii="黑体" w:hAnsi="黑体" w:eastAsia="黑体"/>
          <w:sz w:val="30"/>
        </w:rPr>
      </w:pPr>
    </w:p>
    <w:p w14:paraId="2EB75D17">
      <w:pPr>
        <w:spacing w:line="360" w:lineRule="auto"/>
        <w:ind w:left="600"/>
        <w:rPr>
          <w:rFonts w:ascii="黑体" w:hAnsi="黑体" w:eastAsia="黑体"/>
          <w:sz w:val="30"/>
        </w:rPr>
      </w:pPr>
    </w:p>
    <w:p w14:paraId="0A35E1A9">
      <w:pPr>
        <w:numPr>
          <w:ilvl w:val="0"/>
          <w:numId w:val="1"/>
        </w:numPr>
        <w:spacing w:line="360" w:lineRule="auto"/>
        <w:ind w:left="600"/>
        <w:rPr>
          <w:rFonts w:ascii="黑体" w:hAnsi="黑体" w:eastAsia="黑体"/>
          <w:sz w:val="30"/>
        </w:rPr>
      </w:pPr>
      <w:r>
        <w:rPr>
          <w:rFonts w:hint="eastAsia" w:ascii="黑体" w:hAnsi="黑体" w:eastAsia="黑体"/>
          <w:sz w:val="30"/>
        </w:rPr>
        <w:t>部门整体自评表</w:t>
      </w:r>
    </w:p>
    <w:tbl>
      <w:tblPr>
        <w:tblStyle w:val="5"/>
        <w:tblpPr w:leftFromText="180" w:rightFromText="180" w:vertAnchor="text" w:horzAnchor="page" w:tblpX="1656" w:tblpY="127"/>
        <w:tblOverlap w:val="never"/>
        <w:tblW w:w="146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2051"/>
        <w:gridCol w:w="2061"/>
        <w:gridCol w:w="1987"/>
        <w:gridCol w:w="1799"/>
        <w:gridCol w:w="1866"/>
        <w:gridCol w:w="1787"/>
        <w:gridCol w:w="1071"/>
      </w:tblGrid>
      <w:tr w14:paraId="0B32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2067" w:type="dxa"/>
            <w:shd w:val="clear" w:color="000000" w:fill="BFBFBF"/>
            <w:vAlign w:val="center"/>
          </w:tcPr>
          <w:p w14:paraId="53BD466F">
            <w:pPr>
              <w:widowControl/>
              <w:jc w:val="center"/>
              <w:rPr>
                <w:rFonts w:ascii="宋体" w:hAnsi="宋体" w:cs="宋体"/>
                <w:b/>
                <w:bCs/>
                <w:kern w:val="0"/>
                <w:sz w:val="24"/>
              </w:rPr>
            </w:pPr>
          </w:p>
        </w:tc>
        <w:tc>
          <w:tcPr>
            <w:tcW w:w="2051" w:type="dxa"/>
            <w:shd w:val="clear" w:color="000000" w:fill="BFBFBF"/>
            <w:vAlign w:val="center"/>
          </w:tcPr>
          <w:p w14:paraId="1CC58553">
            <w:pPr>
              <w:widowControl/>
              <w:jc w:val="center"/>
              <w:rPr>
                <w:rFonts w:ascii="宋体" w:hAnsi="宋体" w:cs="宋体"/>
                <w:b/>
                <w:bCs/>
                <w:kern w:val="0"/>
                <w:sz w:val="24"/>
              </w:rPr>
            </w:pPr>
            <w:r>
              <w:rPr>
                <w:rFonts w:hint="eastAsia" w:ascii="宋体" w:hAnsi="宋体" w:cs="宋体"/>
                <w:b/>
                <w:bCs/>
                <w:sz w:val="24"/>
              </w:rPr>
              <w:t>类别</w:t>
            </w:r>
          </w:p>
        </w:tc>
        <w:tc>
          <w:tcPr>
            <w:tcW w:w="2061" w:type="dxa"/>
            <w:shd w:val="clear" w:color="000000" w:fill="BFBFBF"/>
            <w:vAlign w:val="center"/>
          </w:tcPr>
          <w:p w14:paraId="3F4DC382">
            <w:pPr>
              <w:widowControl/>
              <w:jc w:val="center"/>
              <w:rPr>
                <w:rFonts w:ascii="宋体" w:hAnsi="宋体" w:cs="宋体"/>
                <w:b/>
                <w:bCs/>
                <w:kern w:val="0"/>
                <w:sz w:val="24"/>
              </w:rPr>
            </w:pPr>
            <w:r>
              <w:rPr>
                <w:rFonts w:hint="eastAsia" w:ascii="宋体" w:hAnsi="宋体" w:cs="宋体"/>
                <w:b/>
                <w:bCs/>
                <w:sz w:val="24"/>
              </w:rPr>
              <w:t>指标名称</w:t>
            </w:r>
          </w:p>
        </w:tc>
        <w:tc>
          <w:tcPr>
            <w:tcW w:w="1987" w:type="dxa"/>
            <w:shd w:val="clear" w:color="000000" w:fill="BFBFBF"/>
            <w:vAlign w:val="center"/>
          </w:tcPr>
          <w:p w14:paraId="5D2A2967">
            <w:pPr>
              <w:widowControl/>
              <w:jc w:val="center"/>
              <w:rPr>
                <w:rFonts w:ascii="宋体" w:hAnsi="宋体" w:cs="宋体"/>
                <w:b/>
                <w:bCs/>
                <w:kern w:val="0"/>
                <w:sz w:val="24"/>
              </w:rPr>
            </w:pPr>
            <w:r>
              <w:rPr>
                <w:rFonts w:hint="eastAsia" w:ascii="宋体" w:hAnsi="宋体" w:cs="宋体"/>
                <w:b/>
                <w:bCs/>
                <w:sz w:val="24"/>
              </w:rPr>
              <w:t>指标目标值</w:t>
            </w:r>
          </w:p>
        </w:tc>
        <w:tc>
          <w:tcPr>
            <w:tcW w:w="1799" w:type="dxa"/>
            <w:shd w:val="clear" w:color="000000" w:fill="BFBFBF"/>
            <w:vAlign w:val="center"/>
          </w:tcPr>
          <w:p w14:paraId="700B5F42">
            <w:pPr>
              <w:widowControl/>
              <w:jc w:val="center"/>
              <w:rPr>
                <w:rFonts w:ascii="宋体" w:hAnsi="宋体" w:cs="宋体"/>
                <w:b/>
                <w:bCs/>
                <w:kern w:val="0"/>
                <w:sz w:val="24"/>
              </w:rPr>
            </w:pPr>
            <w:r>
              <w:rPr>
                <w:rFonts w:hint="eastAsia" w:ascii="宋体" w:hAnsi="宋体" w:cs="宋体"/>
                <w:b/>
                <w:bCs/>
                <w:sz w:val="24"/>
              </w:rPr>
              <w:t>指标完成值</w:t>
            </w:r>
          </w:p>
        </w:tc>
        <w:tc>
          <w:tcPr>
            <w:tcW w:w="1866" w:type="dxa"/>
            <w:shd w:val="clear" w:color="000000" w:fill="BFBFBF"/>
            <w:vAlign w:val="center"/>
          </w:tcPr>
          <w:p w14:paraId="3082178C">
            <w:pPr>
              <w:widowControl/>
              <w:jc w:val="center"/>
              <w:rPr>
                <w:rFonts w:ascii="宋体" w:hAnsi="宋体" w:cs="宋体"/>
                <w:b/>
                <w:bCs/>
                <w:kern w:val="0"/>
                <w:sz w:val="24"/>
              </w:rPr>
            </w:pPr>
            <w:r>
              <w:rPr>
                <w:rFonts w:hint="eastAsia" w:ascii="宋体" w:hAnsi="宋体" w:cs="宋体"/>
                <w:b/>
                <w:bCs/>
                <w:sz w:val="24"/>
              </w:rPr>
              <w:t>完成值来源</w:t>
            </w:r>
          </w:p>
        </w:tc>
        <w:tc>
          <w:tcPr>
            <w:tcW w:w="1787" w:type="dxa"/>
            <w:shd w:val="clear" w:color="000000" w:fill="BFBFBF"/>
            <w:vAlign w:val="center"/>
          </w:tcPr>
          <w:p w14:paraId="49382FB0">
            <w:pPr>
              <w:widowControl/>
              <w:jc w:val="center"/>
              <w:rPr>
                <w:rFonts w:ascii="宋体" w:hAnsi="宋体" w:cs="宋体"/>
                <w:b/>
                <w:bCs/>
                <w:sz w:val="24"/>
              </w:rPr>
            </w:pPr>
            <w:r>
              <w:rPr>
                <w:rFonts w:hint="eastAsia" w:ascii="宋体" w:hAnsi="宋体" w:cs="宋体"/>
                <w:b/>
                <w:bCs/>
                <w:sz w:val="24"/>
              </w:rPr>
              <w:t>偏差情况</w:t>
            </w:r>
          </w:p>
        </w:tc>
        <w:tc>
          <w:tcPr>
            <w:tcW w:w="1071" w:type="dxa"/>
            <w:shd w:val="clear" w:color="000000" w:fill="BFBFBF"/>
          </w:tcPr>
          <w:p w14:paraId="6998F3EA">
            <w:pPr>
              <w:widowControl/>
              <w:jc w:val="center"/>
              <w:rPr>
                <w:rFonts w:ascii="黑体" w:hAnsi="黑体" w:eastAsia="黑体"/>
                <w:sz w:val="30"/>
              </w:rPr>
            </w:pPr>
            <w:r>
              <w:rPr>
                <w:rFonts w:hint="eastAsia" w:ascii="宋体" w:hAnsi="宋体" w:cs="宋体"/>
                <w:b/>
                <w:bCs/>
                <w:sz w:val="24"/>
              </w:rPr>
              <w:t>原因分析</w:t>
            </w:r>
          </w:p>
        </w:tc>
      </w:tr>
      <w:tr w14:paraId="7E7E0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restart"/>
            <w:vAlign w:val="center"/>
          </w:tcPr>
          <w:p w14:paraId="73E06B88">
            <w:pPr>
              <w:spacing w:line="360" w:lineRule="auto"/>
              <w:jc w:val="center"/>
              <w:rPr>
                <w:rFonts w:ascii="宋体" w:hAnsi="宋体" w:cs="宋体"/>
                <w:kern w:val="0"/>
                <w:sz w:val="24"/>
              </w:rPr>
            </w:pPr>
            <w:r>
              <w:rPr>
                <w:rFonts w:hint="eastAsia" w:ascii="宋体" w:hAnsi="宋体" w:cs="宋体"/>
                <w:sz w:val="24"/>
              </w:rPr>
              <w:t>分解目标</w:t>
            </w:r>
          </w:p>
        </w:tc>
        <w:tc>
          <w:tcPr>
            <w:tcW w:w="2051" w:type="dxa"/>
            <w:vMerge w:val="restart"/>
            <w:vAlign w:val="center"/>
          </w:tcPr>
          <w:p w14:paraId="1A90A9E3">
            <w:pPr>
              <w:spacing w:line="360" w:lineRule="auto"/>
              <w:jc w:val="center"/>
              <w:rPr>
                <w:rFonts w:ascii="宋体" w:hAnsi="宋体" w:cs="宋体"/>
                <w:kern w:val="0"/>
                <w:sz w:val="24"/>
              </w:rPr>
            </w:pPr>
            <w:r>
              <w:rPr>
                <w:rFonts w:hint="eastAsia" w:ascii="宋体" w:hAnsi="宋体" w:cs="宋体"/>
                <w:sz w:val="24"/>
              </w:rPr>
              <w:t>决策</w:t>
            </w:r>
          </w:p>
        </w:tc>
        <w:tc>
          <w:tcPr>
            <w:tcW w:w="2061" w:type="dxa"/>
            <w:vAlign w:val="center"/>
          </w:tcPr>
          <w:p w14:paraId="2AD5988A">
            <w:pPr>
              <w:spacing w:line="360" w:lineRule="auto"/>
              <w:jc w:val="center"/>
              <w:rPr>
                <w:rFonts w:ascii="宋体" w:hAnsi="宋体" w:cs="宋体"/>
                <w:kern w:val="0"/>
                <w:sz w:val="24"/>
              </w:rPr>
            </w:pPr>
            <w:r>
              <w:rPr>
                <w:rFonts w:hint="eastAsia" w:ascii="宋体" w:hAnsi="宋体" w:cs="宋体"/>
                <w:sz w:val="24"/>
              </w:rPr>
              <w:t>工作计划制定健全性</w:t>
            </w:r>
          </w:p>
        </w:tc>
        <w:tc>
          <w:tcPr>
            <w:tcW w:w="1987" w:type="dxa"/>
            <w:vAlign w:val="center"/>
          </w:tcPr>
          <w:p w14:paraId="51523371">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1C13ABAD">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7B7952D8">
            <w:pPr>
              <w:spacing w:line="360" w:lineRule="auto"/>
              <w:jc w:val="center"/>
              <w:rPr>
                <w:rFonts w:ascii="宋体" w:hAnsi="宋体" w:cs="宋体"/>
                <w:kern w:val="0"/>
                <w:sz w:val="24"/>
              </w:rPr>
            </w:pPr>
            <w:r>
              <w:rPr>
                <w:rFonts w:hint="eastAsia" w:ascii="宋体" w:hAnsi="宋体" w:cs="宋体"/>
                <w:sz w:val="24"/>
              </w:rPr>
              <w:t>2025年度工作计划</w:t>
            </w:r>
          </w:p>
        </w:tc>
        <w:tc>
          <w:tcPr>
            <w:tcW w:w="1787" w:type="dxa"/>
            <w:vAlign w:val="center"/>
          </w:tcPr>
          <w:p w14:paraId="5CD25662">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29FBCBB8">
            <w:pPr>
              <w:spacing w:line="360" w:lineRule="auto"/>
              <w:rPr>
                <w:rFonts w:ascii="宋体" w:hAnsi="宋体" w:cs="宋体"/>
                <w:kern w:val="0"/>
                <w:sz w:val="22"/>
              </w:rPr>
            </w:pPr>
          </w:p>
        </w:tc>
      </w:tr>
      <w:tr w14:paraId="5C92D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00E0CF3">
            <w:pPr>
              <w:spacing w:line="360" w:lineRule="auto"/>
              <w:jc w:val="center"/>
              <w:rPr>
                <w:rFonts w:ascii="宋体" w:hAnsi="宋体" w:cs="宋体"/>
                <w:kern w:val="0"/>
                <w:sz w:val="24"/>
              </w:rPr>
            </w:pPr>
          </w:p>
        </w:tc>
        <w:tc>
          <w:tcPr>
            <w:tcW w:w="2051" w:type="dxa"/>
            <w:vMerge w:val="continue"/>
            <w:vAlign w:val="center"/>
          </w:tcPr>
          <w:p w14:paraId="3F2BB0B0">
            <w:pPr>
              <w:spacing w:line="360" w:lineRule="auto"/>
              <w:jc w:val="center"/>
              <w:rPr>
                <w:rFonts w:ascii="宋体" w:hAnsi="宋体" w:cs="宋体"/>
                <w:kern w:val="0"/>
                <w:sz w:val="24"/>
              </w:rPr>
            </w:pPr>
          </w:p>
        </w:tc>
        <w:tc>
          <w:tcPr>
            <w:tcW w:w="2061" w:type="dxa"/>
            <w:vAlign w:val="center"/>
          </w:tcPr>
          <w:p w14:paraId="07B7F4BD">
            <w:pPr>
              <w:spacing w:line="360" w:lineRule="auto"/>
              <w:jc w:val="center"/>
              <w:rPr>
                <w:rFonts w:ascii="宋体" w:hAnsi="宋体" w:cs="宋体"/>
                <w:kern w:val="0"/>
                <w:sz w:val="24"/>
              </w:rPr>
            </w:pPr>
            <w:r>
              <w:rPr>
                <w:rFonts w:hint="eastAsia" w:ascii="宋体" w:hAnsi="宋体" w:cs="宋体"/>
                <w:sz w:val="24"/>
              </w:rPr>
              <w:t>中长期规划制定健全性</w:t>
            </w:r>
          </w:p>
        </w:tc>
        <w:tc>
          <w:tcPr>
            <w:tcW w:w="1987" w:type="dxa"/>
            <w:vAlign w:val="center"/>
          </w:tcPr>
          <w:p w14:paraId="06D948E8">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2108B31D">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3CD9A9C4">
            <w:pPr>
              <w:spacing w:line="360" w:lineRule="auto"/>
              <w:jc w:val="center"/>
              <w:rPr>
                <w:rFonts w:ascii="宋体" w:hAnsi="宋体" w:cs="宋体"/>
                <w:kern w:val="0"/>
                <w:sz w:val="24"/>
              </w:rPr>
            </w:pPr>
            <w:r>
              <w:rPr>
                <w:rFonts w:hint="eastAsia" w:ascii="宋体" w:hAnsi="宋体" w:cs="宋体"/>
                <w:sz w:val="24"/>
              </w:rPr>
              <w:t>2025年度工作计划</w:t>
            </w:r>
          </w:p>
        </w:tc>
        <w:tc>
          <w:tcPr>
            <w:tcW w:w="1787" w:type="dxa"/>
            <w:vAlign w:val="center"/>
          </w:tcPr>
          <w:p w14:paraId="359DDF2F">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3B4AA72">
            <w:pPr>
              <w:spacing w:line="360" w:lineRule="auto"/>
              <w:rPr>
                <w:rFonts w:ascii="宋体" w:hAnsi="宋体" w:cs="宋体"/>
                <w:kern w:val="0"/>
                <w:sz w:val="22"/>
              </w:rPr>
            </w:pPr>
          </w:p>
        </w:tc>
      </w:tr>
      <w:tr w14:paraId="6DBE0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7EFB055">
            <w:pPr>
              <w:spacing w:line="360" w:lineRule="auto"/>
              <w:jc w:val="center"/>
              <w:rPr>
                <w:rFonts w:ascii="宋体" w:hAnsi="宋体" w:cs="宋体"/>
                <w:kern w:val="0"/>
                <w:sz w:val="24"/>
              </w:rPr>
            </w:pPr>
          </w:p>
        </w:tc>
        <w:tc>
          <w:tcPr>
            <w:tcW w:w="2051" w:type="dxa"/>
            <w:vMerge w:val="continue"/>
            <w:vAlign w:val="center"/>
          </w:tcPr>
          <w:p w14:paraId="7874D80A">
            <w:pPr>
              <w:spacing w:line="360" w:lineRule="auto"/>
              <w:jc w:val="center"/>
              <w:rPr>
                <w:rFonts w:ascii="宋体" w:hAnsi="宋体" w:cs="宋体"/>
                <w:kern w:val="0"/>
                <w:sz w:val="24"/>
              </w:rPr>
            </w:pPr>
          </w:p>
        </w:tc>
        <w:tc>
          <w:tcPr>
            <w:tcW w:w="2061" w:type="dxa"/>
            <w:vAlign w:val="center"/>
          </w:tcPr>
          <w:p w14:paraId="3454A1E0">
            <w:pPr>
              <w:spacing w:line="360" w:lineRule="auto"/>
              <w:jc w:val="center"/>
              <w:rPr>
                <w:rFonts w:ascii="宋体" w:hAnsi="宋体" w:cs="宋体"/>
                <w:kern w:val="0"/>
                <w:sz w:val="24"/>
              </w:rPr>
            </w:pPr>
            <w:r>
              <w:rPr>
                <w:rFonts w:hint="eastAsia" w:ascii="宋体" w:hAnsi="宋体" w:cs="宋体"/>
                <w:sz w:val="24"/>
              </w:rPr>
              <w:t>绩效指标明确性</w:t>
            </w:r>
          </w:p>
        </w:tc>
        <w:tc>
          <w:tcPr>
            <w:tcW w:w="1987" w:type="dxa"/>
            <w:vAlign w:val="center"/>
          </w:tcPr>
          <w:p w14:paraId="4EF04F5E">
            <w:pPr>
              <w:spacing w:line="360" w:lineRule="auto"/>
              <w:jc w:val="center"/>
              <w:rPr>
                <w:rFonts w:ascii="宋体" w:hAnsi="宋体" w:cs="宋体"/>
                <w:kern w:val="0"/>
                <w:sz w:val="24"/>
              </w:rPr>
            </w:pPr>
            <w:r>
              <w:rPr>
                <w:rFonts w:hint="eastAsia" w:ascii="宋体" w:hAnsi="宋体" w:cs="宋体"/>
                <w:sz w:val="24"/>
              </w:rPr>
              <w:t>明确</w:t>
            </w:r>
          </w:p>
        </w:tc>
        <w:tc>
          <w:tcPr>
            <w:tcW w:w="1799" w:type="dxa"/>
            <w:vAlign w:val="center"/>
          </w:tcPr>
          <w:p w14:paraId="4C982692">
            <w:pPr>
              <w:spacing w:line="360" w:lineRule="auto"/>
              <w:jc w:val="center"/>
              <w:rPr>
                <w:rFonts w:ascii="宋体" w:hAnsi="宋体" w:cs="宋体"/>
                <w:kern w:val="0"/>
                <w:sz w:val="24"/>
              </w:rPr>
            </w:pPr>
            <w:r>
              <w:rPr>
                <w:rFonts w:hint="eastAsia" w:ascii="宋体" w:hAnsi="宋体" w:cs="宋体"/>
                <w:sz w:val="24"/>
              </w:rPr>
              <w:t>明确</w:t>
            </w:r>
          </w:p>
        </w:tc>
        <w:tc>
          <w:tcPr>
            <w:tcW w:w="1866" w:type="dxa"/>
            <w:vAlign w:val="center"/>
          </w:tcPr>
          <w:p w14:paraId="2A1A6762">
            <w:pPr>
              <w:spacing w:line="360" w:lineRule="auto"/>
              <w:jc w:val="center"/>
              <w:rPr>
                <w:rFonts w:ascii="宋体" w:hAnsi="宋体" w:cs="宋体"/>
                <w:kern w:val="0"/>
                <w:sz w:val="24"/>
              </w:rPr>
            </w:pPr>
            <w:r>
              <w:rPr>
                <w:rFonts w:hint="eastAsia" w:ascii="宋体" w:hAnsi="宋体" w:cs="宋体"/>
                <w:sz w:val="24"/>
              </w:rPr>
              <w:t>2025年预算</w:t>
            </w:r>
          </w:p>
        </w:tc>
        <w:tc>
          <w:tcPr>
            <w:tcW w:w="1787" w:type="dxa"/>
            <w:vAlign w:val="center"/>
          </w:tcPr>
          <w:p w14:paraId="2CABBE40">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0C936C44">
            <w:pPr>
              <w:spacing w:line="360" w:lineRule="auto"/>
              <w:rPr>
                <w:rFonts w:ascii="宋体" w:hAnsi="宋体" w:cs="宋体"/>
                <w:kern w:val="0"/>
                <w:sz w:val="22"/>
              </w:rPr>
            </w:pPr>
          </w:p>
        </w:tc>
      </w:tr>
      <w:tr w14:paraId="4E1F1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CFF4251">
            <w:pPr>
              <w:spacing w:line="360" w:lineRule="auto"/>
              <w:jc w:val="center"/>
              <w:rPr>
                <w:rFonts w:ascii="宋体" w:hAnsi="宋体" w:cs="宋体"/>
                <w:kern w:val="0"/>
                <w:sz w:val="24"/>
              </w:rPr>
            </w:pPr>
          </w:p>
        </w:tc>
        <w:tc>
          <w:tcPr>
            <w:tcW w:w="2051" w:type="dxa"/>
            <w:vMerge w:val="continue"/>
            <w:vAlign w:val="center"/>
          </w:tcPr>
          <w:p w14:paraId="1CE537FF">
            <w:pPr>
              <w:spacing w:line="360" w:lineRule="auto"/>
              <w:jc w:val="center"/>
              <w:rPr>
                <w:rFonts w:ascii="宋体" w:hAnsi="宋体" w:cs="宋体"/>
                <w:kern w:val="0"/>
                <w:sz w:val="24"/>
              </w:rPr>
            </w:pPr>
          </w:p>
        </w:tc>
        <w:tc>
          <w:tcPr>
            <w:tcW w:w="2061" w:type="dxa"/>
            <w:vAlign w:val="center"/>
          </w:tcPr>
          <w:p w14:paraId="34E2480C">
            <w:pPr>
              <w:spacing w:line="360" w:lineRule="auto"/>
              <w:jc w:val="center"/>
              <w:rPr>
                <w:rFonts w:ascii="宋体" w:hAnsi="宋体" w:cs="宋体"/>
                <w:kern w:val="0"/>
                <w:sz w:val="24"/>
              </w:rPr>
            </w:pPr>
            <w:r>
              <w:rPr>
                <w:rFonts w:hint="eastAsia" w:ascii="宋体" w:hAnsi="宋体" w:cs="宋体"/>
                <w:sz w:val="24"/>
              </w:rPr>
              <w:t>绩效目标合理性</w:t>
            </w:r>
          </w:p>
        </w:tc>
        <w:tc>
          <w:tcPr>
            <w:tcW w:w="1987" w:type="dxa"/>
            <w:vAlign w:val="center"/>
          </w:tcPr>
          <w:p w14:paraId="539CB550">
            <w:pPr>
              <w:spacing w:line="360" w:lineRule="auto"/>
              <w:jc w:val="center"/>
              <w:rPr>
                <w:rFonts w:ascii="宋体" w:hAnsi="宋体" w:cs="宋体"/>
                <w:kern w:val="0"/>
                <w:sz w:val="24"/>
              </w:rPr>
            </w:pPr>
            <w:r>
              <w:rPr>
                <w:rFonts w:hint="eastAsia" w:ascii="宋体" w:hAnsi="宋体" w:cs="宋体"/>
                <w:sz w:val="24"/>
              </w:rPr>
              <w:t>合理</w:t>
            </w:r>
          </w:p>
        </w:tc>
        <w:tc>
          <w:tcPr>
            <w:tcW w:w="1799" w:type="dxa"/>
            <w:vAlign w:val="center"/>
          </w:tcPr>
          <w:p w14:paraId="258B096B">
            <w:pPr>
              <w:spacing w:line="360" w:lineRule="auto"/>
              <w:jc w:val="center"/>
              <w:rPr>
                <w:rFonts w:ascii="宋体" w:hAnsi="宋体" w:cs="宋体"/>
                <w:kern w:val="0"/>
                <w:sz w:val="24"/>
              </w:rPr>
            </w:pPr>
            <w:r>
              <w:rPr>
                <w:rFonts w:hint="eastAsia" w:ascii="宋体" w:hAnsi="宋体" w:cs="宋体"/>
                <w:sz w:val="24"/>
              </w:rPr>
              <w:t>合理</w:t>
            </w:r>
          </w:p>
        </w:tc>
        <w:tc>
          <w:tcPr>
            <w:tcW w:w="1866" w:type="dxa"/>
            <w:vAlign w:val="center"/>
          </w:tcPr>
          <w:p w14:paraId="05E4EBCF">
            <w:pPr>
              <w:spacing w:line="360" w:lineRule="auto"/>
              <w:jc w:val="center"/>
              <w:rPr>
                <w:rFonts w:ascii="宋体" w:hAnsi="宋体" w:cs="宋体"/>
                <w:kern w:val="0"/>
                <w:sz w:val="24"/>
              </w:rPr>
            </w:pPr>
            <w:r>
              <w:rPr>
                <w:rFonts w:hint="eastAsia" w:ascii="宋体" w:hAnsi="宋体" w:cs="宋体"/>
                <w:sz w:val="24"/>
              </w:rPr>
              <w:t>2025年预算</w:t>
            </w:r>
          </w:p>
        </w:tc>
        <w:tc>
          <w:tcPr>
            <w:tcW w:w="1787" w:type="dxa"/>
            <w:vAlign w:val="center"/>
          </w:tcPr>
          <w:p w14:paraId="5B52C540">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79460D48">
            <w:pPr>
              <w:spacing w:line="360" w:lineRule="auto"/>
              <w:rPr>
                <w:rFonts w:ascii="宋体" w:hAnsi="宋体" w:cs="宋体"/>
                <w:kern w:val="0"/>
                <w:sz w:val="22"/>
              </w:rPr>
            </w:pPr>
          </w:p>
        </w:tc>
      </w:tr>
      <w:tr w14:paraId="718CF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2E36D15">
            <w:pPr>
              <w:spacing w:line="360" w:lineRule="auto"/>
              <w:jc w:val="center"/>
              <w:rPr>
                <w:rFonts w:ascii="宋体" w:hAnsi="宋体" w:cs="宋体"/>
                <w:kern w:val="0"/>
                <w:sz w:val="24"/>
              </w:rPr>
            </w:pPr>
          </w:p>
        </w:tc>
        <w:tc>
          <w:tcPr>
            <w:tcW w:w="2051" w:type="dxa"/>
            <w:vMerge w:val="continue"/>
            <w:vAlign w:val="center"/>
          </w:tcPr>
          <w:p w14:paraId="682AF2FC">
            <w:pPr>
              <w:spacing w:line="360" w:lineRule="auto"/>
              <w:jc w:val="center"/>
              <w:rPr>
                <w:rFonts w:ascii="宋体" w:hAnsi="宋体" w:cs="宋体"/>
                <w:kern w:val="0"/>
                <w:sz w:val="24"/>
              </w:rPr>
            </w:pPr>
          </w:p>
        </w:tc>
        <w:tc>
          <w:tcPr>
            <w:tcW w:w="2061" w:type="dxa"/>
            <w:vAlign w:val="center"/>
          </w:tcPr>
          <w:p w14:paraId="353F8800">
            <w:pPr>
              <w:spacing w:line="360" w:lineRule="auto"/>
              <w:jc w:val="center"/>
              <w:rPr>
                <w:rFonts w:ascii="宋体" w:hAnsi="宋体" w:cs="宋体"/>
                <w:kern w:val="0"/>
                <w:sz w:val="24"/>
              </w:rPr>
            </w:pPr>
            <w:r>
              <w:rPr>
                <w:rFonts w:hint="eastAsia" w:ascii="宋体" w:hAnsi="宋体" w:cs="宋体"/>
                <w:sz w:val="24"/>
              </w:rPr>
              <w:t>预算编制科学性</w:t>
            </w:r>
          </w:p>
        </w:tc>
        <w:tc>
          <w:tcPr>
            <w:tcW w:w="1987" w:type="dxa"/>
            <w:vAlign w:val="center"/>
          </w:tcPr>
          <w:p w14:paraId="3EFD7F85">
            <w:pPr>
              <w:spacing w:line="360" w:lineRule="auto"/>
              <w:jc w:val="center"/>
              <w:rPr>
                <w:rFonts w:ascii="宋体" w:hAnsi="宋体" w:cs="宋体"/>
                <w:kern w:val="0"/>
                <w:sz w:val="24"/>
              </w:rPr>
            </w:pPr>
            <w:r>
              <w:rPr>
                <w:rFonts w:hint="eastAsia" w:ascii="宋体" w:hAnsi="宋体" w:cs="宋体"/>
                <w:sz w:val="24"/>
              </w:rPr>
              <w:t>科学</w:t>
            </w:r>
          </w:p>
        </w:tc>
        <w:tc>
          <w:tcPr>
            <w:tcW w:w="1799" w:type="dxa"/>
            <w:vAlign w:val="center"/>
          </w:tcPr>
          <w:p w14:paraId="1BA18BC1">
            <w:pPr>
              <w:spacing w:line="360" w:lineRule="auto"/>
              <w:jc w:val="center"/>
              <w:rPr>
                <w:rFonts w:ascii="宋体" w:hAnsi="宋体" w:cs="宋体"/>
                <w:kern w:val="0"/>
                <w:sz w:val="24"/>
              </w:rPr>
            </w:pPr>
            <w:r>
              <w:rPr>
                <w:rFonts w:hint="eastAsia" w:ascii="宋体" w:hAnsi="宋体" w:cs="宋体"/>
                <w:sz w:val="24"/>
              </w:rPr>
              <w:t>科学</w:t>
            </w:r>
          </w:p>
        </w:tc>
        <w:tc>
          <w:tcPr>
            <w:tcW w:w="1866" w:type="dxa"/>
            <w:vAlign w:val="center"/>
          </w:tcPr>
          <w:p w14:paraId="6BBBD732">
            <w:pPr>
              <w:spacing w:line="360" w:lineRule="auto"/>
              <w:jc w:val="center"/>
              <w:rPr>
                <w:rFonts w:ascii="宋体" w:hAnsi="宋体" w:cs="宋体"/>
                <w:kern w:val="0"/>
                <w:sz w:val="24"/>
              </w:rPr>
            </w:pPr>
            <w:r>
              <w:rPr>
                <w:rFonts w:hint="eastAsia" w:ascii="宋体" w:hAnsi="宋体" w:cs="宋体"/>
                <w:sz w:val="24"/>
              </w:rPr>
              <w:t>2025年预算</w:t>
            </w:r>
          </w:p>
        </w:tc>
        <w:tc>
          <w:tcPr>
            <w:tcW w:w="1787" w:type="dxa"/>
            <w:vAlign w:val="center"/>
          </w:tcPr>
          <w:p w14:paraId="4694C9E2">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6B42646A">
            <w:pPr>
              <w:spacing w:line="360" w:lineRule="auto"/>
              <w:rPr>
                <w:rFonts w:ascii="宋体" w:hAnsi="宋体" w:cs="宋体"/>
                <w:kern w:val="0"/>
                <w:sz w:val="22"/>
              </w:rPr>
            </w:pPr>
          </w:p>
        </w:tc>
      </w:tr>
      <w:tr w14:paraId="1EB55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76BDEDD">
            <w:pPr>
              <w:spacing w:line="360" w:lineRule="auto"/>
              <w:jc w:val="center"/>
              <w:rPr>
                <w:rFonts w:ascii="宋体" w:hAnsi="宋体" w:cs="宋体"/>
                <w:kern w:val="0"/>
                <w:sz w:val="24"/>
              </w:rPr>
            </w:pPr>
          </w:p>
        </w:tc>
        <w:tc>
          <w:tcPr>
            <w:tcW w:w="2051" w:type="dxa"/>
            <w:vMerge w:val="continue"/>
            <w:vAlign w:val="center"/>
          </w:tcPr>
          <w:p w14:paraId="13DD229E">
            <w:pPr>
              <w:spacing w:line="360" w:lineRule="auto"/>
              <w:jc w:val="center"/>
              <w:rPr>
                <w:rFonts w:ascii="宋体" w:hAnsi="宋体" w:cs="宋体"/>
                <w:kern w:val="0"/>
                <w:sz w:val="24"/>
              </w:rPr>
            </w:pPr>
          </w:p>
        </w:tc>
        <w:tc>
          <w:tcPr>
            <w:tcW w:w="2061" w:type="dxa"/>
            <w:vAlign w:val="center"/>
          </w:tcPr>
          <w:p w14:paraId="7F338499">
            <w:pPr>
              <w:spacing w:line="360" w:lineRule="auto"/>
              <w:jc w:val="center"/>
              <w:rPr>
                <w:rFonts w:ascii="宋体" w:hAnsi="宋体" w:cs="宋体"/>
                <w:kern w:val="0"/>
                <w:sz w:val="24"/>
              </w:rPr>
            </w:pPr>
            <w:r>
              <w:rPr>
                <w:rFonts w:hint="eastAsia" w:ascii="宋体" w:hAnsi="宋体" w:cs="宋体"/>
                <w:sz w:val="24"/>
              </w:rPr>
              <w:t>预算编制规范性</w:t>
            </w:r>
          </w:p>
        </w:tc>
        <w:tc>
          <w:tcPr>
            <w:tcW w:w="1987" w:type="dxa"/>
            <w:vAlign w:val="center"/>
          </w:tcPr>
          <w:p w14:paraId="256E90B9">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14:paraId="4C82BCFB">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14:paraId="6FA0C448">
            <w:pPr>
              <w:spacing w:line="360" w:lineRule="auto"/>
              <w:jc w:val="center"/>
              <w:rPr>
                <w:rFonts w:ascii="宋体" w:hAnsi="宋体" w:cs="宋体"/>
                <w:kern w:val="0"/>
                <w:sz w:val="24"/>
              </w:rPr>
            </w:pPr>
            <w:r>
              <w:rPr>
                <w:rFonts w:hint="eastAsia" w:ascii="宋体" w:hAnsi="宋体" w:cs="宋体"/>
                <w:sz w:val="24"/>
              </w:rPr>
              <w:t>2025年预算</w:t>
            </w:r>
          </w:p>
        </w:tc>
        <w:tc>
          <w:tcPr>
            <w:tcW w:w="1787" w:type="dxa"/>
            <w:vAlign w:val="center"/>
          </w:tcPr>
          <w:p w14:paraId="548C508E">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1736D742">
            <w:pPr>
              <w:spacing w:line="360" w:lineRule="auto"/>
              <w:rPr>
                <w:rFonts w:ascii="宋体" w:hAnsi="宋体" w:cs="宋体"/>
                <w:kern w:val="0"/>
                <w:sz w:val="22"/>
              </w:rPr>
            </w:pPr>
          </w:p>
        </w:tc>
      </w:tr>
      <w:tr w14:paraId="4D37F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0E9C110">
            <w:pPr>
              <w:spacing w:line="360" w:lineRule="auto"/>
              <w:jc w:val="center"/>
              <w:rPr>
                <w:rFonts w:ascii="宋体" w:hAnsi="宋体" w:cs="宋体"/>
                <w:kern w:val="0"/>
                <w:sz w:val="24"/>
              </w:rPr>
            </w:pPr>
          </w:p>
        </w:tc>
        <w:tc>
          <w:tcPr>
            <w:tcW w:w="2051" w:type="dxa"/>
            <w:vMerge w:val="restart"/>
            <w:vAlign w:val="center"/>
          </w:tcPr>
          <w:p w14:paraId="70216251">
            <w:pPr>
              <w:spacing w:line="360" w:lineRule="auto"/>
              <w:jc w:val="center"/>
              <w:rPr>
                <w:rFonts w:ascii="宋体" w:hAnsi="宋体" w:cs="宋体"/>
                <w:kern w:val="0"/>
                <w:sz w:val="24"/>
              </w:rPr>
            </w:pPr>
            <w:r>
              <w:rPr>
                <w:rFonts w:hint="eastAsia" w:ascii="宋体" w:hAnsi="宋体" w:cs="宋体"/>
                <w:sz w:val="24"/>
              </w:rPr>
              <w:t>过程</w:t>
            </w:r>
          </w:p>
        </w:tc>
        <w:tc>
          <w:tcPr>
            <w:tcW w:w="2061" w:type="dxa"/>
            <w:vAlign w:val="center"/>
          </w:tcPr>
          <w:p w14:paraId="4CFFFE83">
            <w:pPr>
              <w:spacing w:line="360" w:lineRule="auto"/>
              <w:jc w:val="center"/>
              <w:rPr>
                <w:rFonts w:ascii="宋体" w:hAnsi="宋体" w:cs="宋体"/>
                <w:kern w:val="0"/>
                <w:sz w:val="24"/>
              </w:rPr>
            </w:pPr>
            <w:r>
              <w:rPr>
                <w:rFonts w:hint="eastAsia" w:ascii="宋体" w:hAnsi="宋体" w:cs="宋体"/>
                <w:sz w:val="24"/>
              </w:rPr>
              <w:t>预决算信息公开度</w:t>
            </w:r>
          </w:p>
        </w:tc>
        <w:tc>
          <w:tcPr>
            <w:tcW w:w="1987" w:type="dxa"/>
            <w:vAlign w:val="center"/>
          </w:tcPr>
          <w:p w14:paraId="495A8B9B">
            <w:pPr>
              <w:spacing w:line="360" w:lineRule="auto"/>
              <w:jc w:val="center"/>
              <w:rPr>
                <w:rFonts w:ascii="宋体" w:hAnsi="宋体" w:cs="宋体"/>
                <w:kern w:val="0"/>
                <w:sz w:val="24"/>
              </w:rPr>
            </w:pPr>
            <w:r>
              <w:rPr>
                <w:rFonts w:hint="eastAsia" w:ascii="宋体" w:hAnsi="宋体" w:cs="宋体"/>
                <w:sz w:val="24"/>
              </w:rPr>
              <w:t>公开</w:t>
            </w:r>
          </w:p>
        </w:tc>
        <w:tc>
          <w:tcPr>
            <w:tcW w:w="1799" w:type="dxa"/>
            <w:vAlign w:val="center"/>
          </w:tcPr>
          <w:p w14:paraId="7274597F">
            <w:pPr>
              <w:spacing w:line="360" w:lineRule="auto"/>
              <w:jc w:val="center"/>
              <w:rPr>
                <w:rFonts w:ascii="宋体" w:hAnsi="宋体" w:cs="宋体"/>
                <w:kern w:val="0"/>
                <w:sz w:val="24"/>
              </w:rPr>
            </w:pPr>
            <w:r>
              <w:rPr>
                <w:rFonts w:hint="eastAsia" w:ascii="宋体" w:hAnsi="宋体" w:cs="宋体"/>
                <w:sz w:val="24"/>
              </w:rPr>
              <w:t>公开</w:t>
            </w:r>
          </w:p>
        </w:tc>
        <w:tc>
          <w:tcPr>
            <w:tcW w:w="1866" w:type="dxa"/>
            <w:vAlign w:val="center"/>
          </w:tcPr>
          <w:p w14:paraId="32B224B0">
            <w:pPr>
              <w:spacing w:line="360" w:lineRule="auto"/>
              <w:jc w:val="center"/>
              <w:rPr>
                <w:rFonts w:ascii="宋体" w:hAnsi="宋体" w:cs="宋体"/>
                <w:kern w:val="0"/>
                <w:sz w:val="24"/>
              </w:rPr>
            </w:pPr>
            <w:r>
              <w:rPr>
                <w:rFonts w:hint="eastAsia" w:ascii="宋体" w:hAnsi="宋体" w:cs="宋体"/>
                <w:sz w:val="24"/>
              </w:rPr>
              <w:t>预算公开表、决算公开表</w:t>
            </w:r>
          </w:p>
        </w:tc>
        <w:tc>
          <w:tcPr>
            <w:tcW w:w="1787" w:type="dxa"/>
            <w:vAlign w:val="center"/>
          </w:tcPr>
          <w:p w14:paraId="16657ABE">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542E64FB">
            <w:pPr>
              <w:spacing w:line="360" w:lineRule="auto"/>
              <w:rPr>
                <w:rFonts w:ascii="宋体" w:hAnsi="宋体" w:cs="宋体"/>
                <w:kern w:val="0"/>
                <w:sz w:val="22"/>
              </w:rPr>
            </w:pPr>
          </w:p>
        </w:tc>
      </w:tr>
      <w:tr w14:paraId="3ECF1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785838E">
            <w:pPr>
              <w:spacing w:line="360" w:lineRule="auto"/>
              <w:jc w:val="center"/>
              <w:rPr>
                <w:rFonts w:ascii="宋体" w:hAnsi="宋体" w:cs="宋体"/>
                <w:kern w:val="0"/>
                <w:sz w:val="24"/>
              </w:rPr>
            </w:pPr>
          </w:p>
        </w:tc>
        <w:tc>
          <w:tcPr>
            <w:tcW w:w="2051" w:type="dxa"/>
            <w:vMerge w:val="continue"/>
            <w:vAlign w:val="center"/>
          </w:tcPr>
          <w:p w14:paraId="2D7A4AE9">
            <w:pPr>
              <w:spacing w:line="360" w:lineRule="auto"/>
              <w:jc w:val="center"/>
              <w:rPr>
                <w:rFonts w:ascii="宋体" w:hAnsi="宋体" w:cs="宋体"/>
                <w:kern w:val="0"/>
                <w:sz w:val="24"/>
              </w:rPr>
            </w:pPr>
          </w:p>
        </w:tc>
        <w:tc>
          <w:tcPr>
            <w:tcW w:w="2061" w:type="dxa"/>
            <w:vAlign w:val="center"/>
          </w:tcPr>
          <w:p w14:paraId="0F3135EB">
            <w:pPr>
              <w:spacing w:line="360" w:lineRule="auto"/>
              <w:jc w:val="center"/>
              <w:rPr>
                <w:rFonts w:ascii="宋体" w:hAnsi="宋体" w:cs="宋体"/>
                <w:kern w:val="0"/>
                <w:sz w:val="24"/>
              </w:rPr>
            </w:pPr>
            <w:r>
              <w:rPr>
                <w:rFonts w:hint="eastAsia" w:ascii="宋体" w:hAnsi="宋体" w:cs="宋体"/>
                <w:sz w:val="24"/>
              </w:rPr>
              <w:t>非税收入管理合规性</w:t>
            </w:r>
          </w:p>
        </w:tc>
        <w:tc>
          <w:tcPr>
            <w:tcW w:w="1987" w:type="dxa"/>
            <w:vAlign w:val="center"/>
          </w:tcPr>
          <w:p w14:paraId="14278753">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14:paraId="1566422A">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14:paraId="3A4A2005">
            <w:pPr>
              <w:spacing w:line="360" w:lineRule="auto"/>
              <w:jc w:val="center"/>
              <w:rPr>
                <w:rFonts w:ascii="宋体" w:hAnsi="宋体" w:cs="宋体"/>
                <w:kern w:val="0"/>
                <w:sz w:val="24"/>
              </w:rPr>
            </w:pPr>
            <w:r>
              <w:rPr>
                <w:rFonts w:hint="eastAsia" w:ascii="宋体" w:hAnsi="宋体" w:cs="宋体"/>
                <w:sz w:val="24"/>
              </w:rPr>
              <w:t>2025年预算</w:t>
            </w:r>
          </w:p>
        </w:tc>
        <w:tc>
          <w:tcPr>
            <w:tcW w:w="1787" w:type="dxa"/>
            <w:vAlign w:val="center"/>
          </w:tcPr>
          <w:p w14:paraId="0B0C0A31">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1BBB2455">
            <w:pPr>
              <w:spacing w:line="360" w:lineRule="auto"/>
              <w:rPr>
                <w:rFonts w:ascii="宋体" w:hAnsi="宋体" w:cs="宋体"/>
                <w:kern w:val="0"/>
                <w:sz w:val="22"/>
              </w:rPr>
            </w:pPr>
          </w:p>
        </w:tc>
      </w:tr>
      <w:tr w14:paraId="459B5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076FCD4">
            <w:pPr>
              <w:spacing w:line="360" w:lineRule="auto"/>
              <w:jc w:val="center"/>
              <w:rPr>
                <w:rFonts w:ascii="宋体" w:hAnsi="宋体" w:cs="宋体"/>
                <w:kern w:val="0"/>
                <w:sz w:val="24"/>
              </w:rPr>
            </w:pPr>
          </w:p>
        </w:tc>
        <w:tc>
          <w:tcPr>
            <w:tcW w:w="2051" w:type="dxa"/>
            <w:vMerge w:val="continue"/>
            <w:vAlign w:val="center"/>
          </w:tcPr>
          <w:p w14:paraId="118D263D">
            <w:pPr>
              <w:spacing w:line="360" w:lineRule="auto"/>
              <w:jc w:val="center"/>
              <w:rPr>
                <w:rFonts w:ascii="宋体" w:hAnsi="宋体" w:cs="宋体"/>
                <w:kern w:val="0"/>
                <w:sz w:val="24"/>
              </w:rPr>
            </w:pPr>
          </w:p>
        </w:tc>
        <w:tc>
          <w:tcPr>
            <w:tcW w:w="2061" w:type="dxa"/>
            <w:vAlign w:val="center"/>
          </w:tcPr>
          <w:p w14:paraId="265F8549">
            <w:pPr>
              <w:spacing w:line="360" w:lineRule="auto"/>
              <w:jc w:val="center"/>
              <w:rPr>
                <w:rFonts w:ascii="宋体" w:hAnsi="宋体" w:cs="宋体"/>
                <w:kern w:val="0"/>
                <w:sz w:val="24"/>
              </w:rPr>
            </w:pPr>
            <w:r>
              <w:rPr>
                <w:rFonts w:hint="eastAsia" w:ascii="宋体" w:hAnsi="宋体" w:cs="宋体"/>
                <w:sz w:val="24"/>
              </w:rPr>
              <w:t>基础信息完善性</w:t>
            </w:r>
          </w:p>
        </w:tc>
        <w:tc>
          <w:tcPr>
            <w:tcW w:w="1987" w:type="dxa"/>
            <w:vAlign w:val="center"/>
          </w:tcPr>
          <w:p w14:paraId="2F289E59">
            <w:pPr>
              <w:spacing w:line="360" w:lineRule="auto"/>
              <w:jc w:val="center"/>
              <w:rPr>
                <w:rFonts w:ascii="宋体" w:hAnsi="宋体" w:cs="宋体"/>
                <w:kern w:val="0"/>
                <w:sz w:val="24"/>
              </w:rPr>
            </w:pPr>
            <w:r>
              <w:rPr>
                <w:rFonts w:hint="eastAsia" w:ascii="宋体" w:hAnsi="宋体" w:cs="宋体"/>
                <w:sz w:val="24"/>
              </w:rPr>
              <w:t>完善</w:t>
            </w:r>
          </w:p>
        </w:tc>
        <w:tc>
          <w:tcPr>
            <w:tcW w:w="1799" w:type="dxa"/>
            <w:vAlign w:val="center"/>
          </w:tcPr>
          <w:p w14:paraId="45FB3E2C">
            <w:pPr>
              <w:spacing w:line="360" w:lineRule="auto"/>
              <w:jc w:val="center"/>
              <w:rPr>
                <w:rFonts w:ascii="宋体" w:hAnsi="宋体" w:cs="宋体"/>
                <w:kern w:val="0"/>
                <w:sz w:val="24"/>
              </w:rPr>
            </w:pPr>
            <w:r>
              <w:rPr>
                <w:rFonts w:hint="eastAsia" w:ascii="宋体" w:hAnsi="宋体" w:cs="宋体"/>
                <w:sz w:val="24"/>
              </w:rPr>
              <w:t>完善</w:t>
            </w:r>
          </w:p>
        </w:tc>
        <w:tc>
          <w:tcPr>
            <w:tcW w:w="1866" w:type="dxa"/>
            <w:vAlign w:val="center"/>
          </w:tcPr>
          <w:p w14:paraId="491B03F0">
            <w:pPr>
              <w:spacing w:line="360" w:lineRule="auto"/>
              <w:jc w:val="center"/>
              <w:rPr>
                <w:rFonts w:ascii="宋体" w:hAnsi="宋体" w:cs="宋体"/>
                <w:kern w:val="0"/>
                <w:sz w:val="24"/>
              </w:rPr>
            </w:pPr>
            <w:r>
              <w:rPr>
                <w:rFonts w:hint="eastAsia" w:ascii="宋体" w:hAnsi="宋体" w:cs="宋体"/>
                <w:sz w:val="24"/>
              </w:rPr>
              <w:t>2025年预算</w:t>
            </w:r>
          </w:p>
        </w:tc>
        <w:tc>
          <w:tcPr>
            <w:tcW w:w="1787" w:type="dxa"/>
            <w:vAlign w:val="center"/>
          </w:tcPr>
          <w:p w14:paraId="1DABE423">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3C0D7BAE">
            <w:pPr>
              <w:spacing w:line="360" w:lineRule="auto"/>
              <w:rPr>
                <w:rFonts w:ascii="宋体" w:hAnsi="宋体" w:cs="宋体"/>
                <w:kern w:val="0"/>
                <w:sz w:val="22"/>
              </w:rPr>
            </w:pPr>
          </w:p>
        </w:tc>
      </w:tr>
      <w:tr w14:paraId="6C0E2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5D21C02">
            <w:pPr>
              <w:spacing w:line="360" w:lineRule="auto"/>
              <w:jc w:val="center"/>
              <w:rPr>
                <w:rFonts w:ascii="宋体" w:hAnsi="宋体" w:cs="宋体"/>
                <w:kern w:val="0"/>
                <w:sz w:val="24"/>
              </w:rPr>
            </w:pPr>
          </w:p>
        </w:tc>
        <w:tc>
          <w:tcPr>
            <w:tcW w:w="2051" w:type="dxa"/>
            <w:vMerge w:val="continue"/>
            <w:vAlign w:val="center"/>
          </w:tcPr>
          <w:p w14:paraId="687FFEDB">
            <w:pPr>
              <w:spacing w:line="360" w:lineRule="auto"/>
              <w:jc w:val="center"/>
              <w:rPr>
                <w:rFonts w:ascii="宋体" w:hAnsi="宋体" w:cs="宋体"/>
                <w:kern w:val="0"/>
                <w:sz w:val="24"/>
              </w:rPr>
            </w:pPr>
          </w:p>
        </w:tc>
        <w:tc>
          <w:tcPr>
            <w:tcW w:w="2061" w:type="dxa"/>
            <w:vAlign w:val="center"/>
          </w:tcPr>
          <w:p w14:paraId="62C48661">
            <w:pPr>
              <w:spacing w:line="360" w:lineRule="auto"/>
              <w:jc w:val="center"/>
              <w:rPr>
                <w:rFonts w:ascii="宋体" w:hAnsi="宋体" w:cs="宋体"/>
                <w:kern w:val="0"/>
                <w:sz w:val="24"/>
              </w:rPr>
            </w:pPr>
            <w:r>
              <w:rPr>
                <w:rFonts w:hint="eastAsia" w:ascii="宋体" w:hAnsi="宋体" w:cs="宋体"/>
                <w:sz w:val="24"/>
              </w:rPr>
              <w:t>绩效管理覆盖率</w:t>
            </w:r>
          </w:p>
        </w:tc>
        <w:tc>
          <w:tcPr>
            <w:tcW w:w="1987" w:type="dxa"/>
            <w:vAlign w:val="center"/>
          </w:tcPr>
          <w:p w14:paraId="57DA3E3E">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3A2615F7">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3B8F0BFF">
            <w:pPr>
              <w:spacing w:line="360" w:lineRule="auto"/>
              <w:jc w:val="center"/>
              <w:rPr>
                <w:rFonts w:ascii="宋体" w:hAnsi="宋体" w:cs="宋体"/>
                <w:kern w:val="0"/>
                <w:sz w:val="24"/>
              </w:rPr>
            </w:pPr>
            <w:r>
              <w:rPr>
                <w:rFonts w:hint="eastAsia" w:ascii="宋体" w:hAnsi="宋体" w:cs="宋体"/>
                <w:sz w:val="24"/>
              </w:rPr>
              <w:t>2025年预算</w:t>
            </w:r>
          </w:p>
        </w:tc>
        <w:tc>
          <w:tcPr>
            <w:tcW w:w="1787" w:type="dxa"/>
            <w:vAlign w:val="center"/>
          </w:tcPr>
          <w:p w14:paraId="1BBBEDFB">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6D09ADA9">
            <w:pPr>
              <w:spacing w:line="360" w:lineRule="auto"/>
              <w:rPr>
                <w:rFonts w:ascii="宋体" w:hAnsi="宋体" w:cs="宋体"/>
                <w:kern w:val="0"/>
                <w:sz w:val="22"/>
              </w:rPr>
            </w:pPr>
          </w:p>
        </w:tc>
      </w:tr>
      <w:tr w14:paraId="0BBC5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3D71C08">
            <w:pPr>
              <w:spacing w:line="360" w:lineRule="auto"/>
              <w:jc w:val="center"/>
              <w:rPr>
                <w:rFonts w:ascii="宋体" w:hAnsi="宋体" w:cs="宋体"/>
                <w:kern w:val="0"/>
                <w:sz w:val="24"/>
              </w:rPr>
            </w:pPr>
          </w:p>
        </w:tc>
        <w:tc>
          <w:tcPr>
            <w:tcW w:w="2051" w:type="dxa"/>
            <w:vMerge w:val="continue"/>
            <w:vAlign w:val="center"/>
          </w:tcPr>
          <w:p w14:paraId="4F057DE6">
            <w:pPr>
              <w:spacing w:line="360" w:lineRule="auto"/>
              <w:jc w:val="center"/>
              <w:rPr>
                <w:rFonts w:ascii="宋体" w:hAnsi="宋体" w:cs="宋体"/>
                <w:kern w:val="0"/>
                <w:sz w:val="24"/>
              </w:rPr>
            </w:pPr>
          </w:p>
        </w:tc>
        <w:tc>
          <w:tcPr>
            <w:tcW w:w="2061" w:type="dxa"/>
            <w:vAlign w:val="center"/>
          </w:tcPr>
          <w:p w14:paraId="385E5718">
            <w:pPr>
              <w:spacing w:line="360" w:lineRule="auto"/>
              <w:jc w:val="center"/>
              <w:rPr>
                <w:rFonts w:ascii="宋体" w:hAnsi="宋体" w:cs="宋体"/>
                <w:kern w:val="0"/>
                <w:sz w:val="24"/>
              </w:rPr>
            </w:pPr>
            <w:r>
              <w:rPr>
                <w:rFonts w:hint="eastAsia" w:ascii="宋体" w:hAnsi="宋体" w:cs="宋体"/>
                <w:sz w:val="24"/>
              </w:rPr>
              <w:t>预算管理制度健全性</w:t>
            </w:r>
          </w:p>
        </w:tc>
        <w:tc>
          <w:tcPr>
            <w:tcW w:w="1987" w:type="dxa"/>
            <w:vAlign w:val="center"/>
          </w:tcPr>
          <w:p w14:paraId="605132C1">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2F6B7223">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507131AA">
            <w:pPr>
              <w:spacing w:line="360" w:lineRule="auto"/>
              <w:jc w:val="center"/>
              <w:rPr>
                <w:rFonts w:ascii="宋体" w:hAnsi="宋体" w:cs="宋体"/>
                <w:kern w:val="0"/>
                <w:sz w:val="24"/>
              </w:rPr>
            </w:pPr>
            <w:r>
              <w:rPr>
                <w:rFonts w:hint="eastAsia" w:ascii="宋体" w:hAnsi="宋体" w:cs="宋体"/>
                <w:sz w:val="24"/>
              </w:rPr>
              <w:t>单位财务管理制度</w:t>
            </w:r>
          </w:p>
        </w:tc>
        <w:tc>
          <w:tcPr>
            <w:tcW w:w="1787" w:type="dxa"/>
            <w:vAlign w:val="center"/>
          </w:tcPr>
          <w:p w14:paraId="5C229B3B">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036F0C35">
            <w:pPr>
              <w:spacing w:line="360" w:lineRule="auto"/>
              <w:rPr>
                <w:rFonts w:ascii="宋体" w:hAnsi="宋体" w:cs="宋体"/>
                <w:kern w:val="0"/>
                <w:sz w:val="22"/>
              </w:rPr>
            </w:pPr>
          </w:p>
        </w:tc>
      </w:tr>
      <w:tr w14:paraId="49E2B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905762A">
            <w:pPr>
              <w:spacing w:line="360" w:lineRule="auto"/>
              <w:jc w:val="center"/>
              <w:rPr>
                <w:rFonts w:ascii="宋体" w:hAnsi="宋体" w:cs="宋体"/>
                <w:kern w:val="0"/>
                <w:sz w:val="24"/>
              </w:rPr>
            </w:pPr>
          </w:p>
        </w:tc>
        <w:tc>
          <w:tcPr>
            <w:tcW w:w="2051" w:type="dxa"/>
            <w:vMerge w:val="continue"/>
            <w:vAlign w:val="center"/>
          </w:tcPr>
          <w:p w14:paraId="32EA6268">
            <w:pPr>
              <w:spacing w:line="360" w:lineRule="auto"/>
              <w:jc w:val="center"/>
              <w:rPr>
                <w:rFonts w:ascii="宋体" w:hAnsi="宋体" w:cs="宋体"/>
                <w:kern w:val="0"/>
                <w:sz w:val="24"/>
              </w:rPr>
            </w:pPr>
          </w:p>
        </w:tc>
        <w:tc>
          <w:tcPr>
            <w:tcW w:w="2061" w:type="dxa"/>
            <w:vAlign w:val="center"/>
          </w:tcPr>
          <w:p w14:paraId="32661FE1">
            <w:pPr>
              <w:spacing w:line="360" w:lineRule="auto"/>
              <w:jc w:val="center"/>
              <w:rPr>
                <w:rFonts w:ascii="宋体" w:hAnsi="宋体" w:cs="宋体"/>
                <w:kern w:val="0"/>
                <w:sz w:val="24"/>
              </w:rPr>
            </w:pPr>
            <w:r>
              <w:rPr>
                <w:rFonts w:hint="eastAsia" w:ascii="宋体" w:hAnsi="宋体" w:cs="宋体"/>
                <w:sz w:val="24"/>
              </w:rPr>
              <w:t>资金使用合规性</w:t>
            </w:r>
          </w:p>
        </w:tc>
        <w:tc>
          <w:tcPr>
            <w:tcW w:w="1987" w:type="dxa"/>
            <w:vAlign w:val="center"/>
          </w:tcPr>
          <w:p w14:paraId="19523C3F">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14:paraId="23355ABA">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14:paraId="4D492654">
            <w:pPr>
              <w:spacing w:line="360" w:lineRule="auto"/>
              <w:jc w:val="center"/>
              <w:rPr>
                <w:rFonts w:ascii="宋体" w:hAnsi="宋体" w:cs="宋体"/>
                <w:kern w:val="0"/>
                <w:sz w:val="24"/>
              </w:rPr>
            </w:pPr>
            <w:r>
              <w:rPr>
                <w:rFonts w:hint="eastAsia" w:ascii="宋体" w:hAnsi="宋体" w:cs="宋体"/>
                <w:sz w:val="24"/>
              </w:rPr>
              <w:t>2025年预算、2025年财务账</w:t>
            </w:r>
          </w:p>
        </w:tc>
        <w:tc>
          <w:tcPr>
            <w:tcW w:w="1787" w:type="dxa"/>
            <w:vAlign w:val="center"/>
          </w:tcPr>
          <w:p w14:paraId="10FE9E9E">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72597C0">
            <w:pPr>
              <w:spacing w:line="360" w:lineRule="auto"/>
              <w:rPr>
                <w:rFonts w:ascii="宋体" w:hAnsi="宋体" w:cs="宋体"/>
                <w:kern w:val="0"/>
                <w:sz w:val="22"/>
              </w:rPr>
            </w:pPr>
          </w:p>
        </w:tc>
      </w:tr>
      <w:tr w14:paraId="00C6A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EA189C3">
            <w:pPr>
              <w:spacing w:line="360" w:lineRule="auto"/>
              <w:jc w:val="center"/>
              <w:rPr>
                <w:rFonts w:ascii="宋体" w:hAnsi="宋体" w:cs="宋体"/>
                <w:kern w:val="0"/>
                <w:sz w:val="24"/>
              </w:rPr>
            </w:pPr>
          </w:p>
        </w:tc>
        <w:tc>
          <w:tcPr>
            <w:tcW w:w="2051" w:type="dxa"/>
            <w:vMerge w:val="continue"/>
            <w:vAlign w:val="center"/>
          </w:tcPr>
          <w:p w14:paraId="40270FAD">
            <w:pPr>
              <w:spacing w:line="360" w:lineRule="auto"/>
              <w:jc w:val="center"/>
              <w:rPr>
                <w:rFonts w:ascii="宋体" w:hAnsi="宋体" w:cs="宋体"/>
                <w:kern w:val="0"/>
                <w:sz w:val="24"/>
              </w:rPr>
            </w:pPr>
          </w:p>
        </w:tc>
        <w:tc>
          <w:tcPr>
            <w:tcW w:w="2061" w:type="dxa"/>
            <w:vAlign w:val="center"/>
          </w:tcPr>
          <w:p w14:paraId="2EF5C554">
            <w:pPr>
              <w:spacing w:line="360" w:lineRule="auto"/>
              <w:jc w:val="center"/>
              <w:rPr>
                <w:rFonts w:ascii="宋体" w:hAnsi="宋体" w:cs="宋体"/>
                <w:kern w:val="0"/>
                <w:sz w:val="24"/>
              </w:rPr>
            </w:pPr>
            <w:r>
              <w:rPr>
                <w:rFonts w:hint="eastAsia" w:ascii="宋体" w:hAnsi="宋体" w:cs="宋体"/>
                <w:sz w:val="24"/>
              </w:rPr>
              <w:t>资产管理制度健全性</w:t>
            </w:r>
          </w:p>
        </w:tc>
        <w:tc>
          <w:tcPr>
            <w:tcW w:w="1987" w:type="dxa"/>
            <w:vAlign w:val="center"/>
          </w:tcPr>
          <w:p w14:paraId="43A802C4">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3002D8FC">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46410904">
            <w:pPr>
              <w:spacing w:line="360" w:lineRule="auto"/>
              <w:jc w:val="center"/>
              <w:rPr>
                <w:rFonts w:ascii="宋体" w:hAnsi="宋体" w:cs="宋体"/>
                <w:kern w:val="0"/>
                <w:sz w:val="24"/>
              </w:rPr>
            </w:pPr>
            <w:r>
              <w:rPr>
                <w:rFonts w:hint="eastAsia" w:ascii="宋体" w:hAnsi="宋体" w:cs="宋体"/>
                <w:sz w:val="24"/>
              </w:rPr>
              <w:t>固定资产管理制度</w:t>
            </w:r>
          </w:p>
        </w:tc>
        <w:tc>
          <w:tcPr>
            <w:tcW w:w="1787" w:type="dxa"/>
            <w:vAlign w:val="center"/>
          </w:tcPr>
          <w:p w14:paraId="000140D7">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055288F7">
            <w:pPr>
              <w:spacing w:line="360" w:lineRule="auto"/>
              <w:rPr>
                <w:rFonts w:ascii="宋体" w:hAnsi="宋体" w:cs="宋体"/>
                <w:kern w:val="0"/>
                <w:sz w:val="22"/>
              </w:rPr>
            </w:pPr>
          </w:p>
        </w:tc>
      </w:tr>
      <w:tr w14:paraId="5C8DF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279CB41">
            <w:pPr>
              <w:spacing w:line="360" w:lineRule="auto"/>
              <w:jc w:val="center"/>
              <w:rPr>
                <w:rFonts w:ascii="宋体" w:hAnsi="宋体" w:cs="宋体"/>
                <w:kern w:val="0"/>
                <w:sz w:val="24"/>
              </w:rPr>
            </w:pPr>
          </w:p>
        </w:tc>
        <w:tc>
          <w:tcPr>
            <w:tcW w:w="2051" w:type="dxa"/>
            <w:vMerge w:val="continue"/>
            <w:vAlign w:val="center"/>
          </w:tcPr>
          <w:p w14:paraId="4673F494">
            <w:pPr>
              <w:spacing w:line="360" w:lineRule="auto"/>
              <w:jc w:val="center"/>
              <w:rPr>
                <w:rFonts w:ascii="宋体" w:hAnsi="宋体" w:cs="宋体"/>
                <w:kern w:val="0"/>
                <w:sz w:val="24"/>
              </w:rPr>
            </w:pPr>
          </w:p>
        </w:tc>
        <w:tc>
          <w:tcPr>
            <w:tcW w:w="2061" w:type="dxa"/>
            <w:vAlign w:val="center"/>
          </w:tcPr>
          <w:p w14:paraId="657B5541">
            <w:pPr>
              <w:spacing w:line="360" w:lineRule="auto"/>
              <w:jc w:val="center"/>
              <w:rPr>
                <w:rFonts w:ascii="宋体" w:hAnsi="宋体" w:cs="宋体"/>
                <w:kern w:val="0"/>
                <w:sz w:val="24"/>
              </w:rPr>
            </w:pPr>
            <w:r>
              <w:rPr>
                <w:rFonts w:hint="eastAsia" w:ascii="宋体" w:hAnsi="宋体" w:cs="宋体"/>
                <w:sz w:val="24"/>
              </w:rPr>
              <w:t>资产管理规范性</w:t>
            </w:r>
          </w:p>
        </w:tc>
        <w:tc>
          <w:tcPr>
            <w:tcW w:w="1987" w:type="dxa"/>
            <w:vAlign w:val="center"/>
          </w:tcPr>
          <w:p w14:paraId="45358499">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14:paraId="17CED92B">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14:paraId="48E1ED5E">
            <w:pPr>
              <w:spacing w:line="360" w:lineRule="auto"/>
              <w:jc w:val="center"/>
              <w:rPr>
                <w:rFonts w:ascii="宋体" w:hAnsi="宋体" w:cs="宋体"/>
                <w:kern w:val="0"/>
                <w:sz w:val="24"/>
              </w:rPr>
            </w:pPr>
            <w:r>
              <w:rPr>
                <w:rFonts w:hint="eastAsia" w:ascii="宋体" w:hAnsi="宋体" w:cs="宋体"/>
                <w:sz w:val="24"/>
              </w:rPr>
              <w:t>固定资产管理制度、资产云系统</w:t>
            </w:r>
          </w:p>
        </w:tc>
        <w:tc>
          <w:tcPr>
            <w:tcW w:w="1787" w:type="dxa"/>
            <w:vAlign w:val="center"/>
          </w:tcPr>
          <w:p w14:paraId="0E7ED2F3">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0426E890">
            <w:pPr>
              <w:spacing w:line="360" w:lineRule="auto"/>
              <w:rPr>
                <w:rFonts w:ascii="宋体" w:hAnsi="宋体" w:cs="宋体"/>
                <w:kern w:val="0"/>
                <w:sz w:val="22"/>
              </w:rPr>
            </w:pPr>
          </w:p>
        </w:tc>
      </w:tr>
      <w:tr w14:paraId="4E2CA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9F9F38E">
            <w:pPr>
              <w:spacing w:line="360" w:lineRule="auto"/>
              <w:jc w:val="center"/>
              <w:rPr>
                <w:rFonts w:ascii="宋体" w:hAnsi="宋体" w:cs="宋体"/>
                <w:kern w:val="0"/>
                <w:sz w:val="24"/>
              </w:rPr>
            </w:pPr>
          </w:p>
        </w:tc>
        <w:tc>
          <w:tcPr>
            <w:tcW w:w="2051" w:type="dxa"/>
            <w:vMerge w:val="continue"/>
            <w:vAlign w:val="center"/>
          </w:tcPr>
          <w:p w14:paraId="667523A8">
            <w:pPr>
              <w:spacing w:line="360" w:lineRule="auto"/>
              <w:jc w:val="center"/>
              <w:rPr>
                <w:rFonts w:ascii="宋体" w:hAnsi="宋体" w:cs="宋体"/>
                <w:kern w:val="0"/>
                <w:sz w:val="24"/>
              </w:rPr>
            </w:pPr>
          </w:p>
        </w:tc>
        <w:tc>
          <w:tcPr>
            <w:tcW w:w="2061" w:type="dxa"/>
            <w:vAlign w:val="center"/>
          </w:tcPr>
          <w:p w14:paraId="22EFD93F">
            <w:pPr>
              <w:spacing w:line="360" w:lineRule="auto"/>
              <w:jc w:val="center"/>
              <w:rPr>
                <w:rFonts w:ascii="宋体" w:hAnsi="宋体" w:cs="宋体"/>
                <w:kern w:val="0"/>
                <w:sz w:val="24"/>
              </w:rPr>
            </w:pPr>
            <w:r>
              <w:rPr>
                <w:rFonts w:hint="eastAsia" w:ascii="宋体" w:hAnsi="宋体" w:cs="宋体"/>
                <w:sz w:val="24"/>
              </w:rPr>
              <w:t>固定资产利用率</w:t>
            </w:r>
          </w:p>
        </w:tc>
        <w:tc>
          <w:tcPr>
            <w:tcW w:w="1987" w:type="dxa"/>
            <w:vAlign w:val="center"/>
          </w:tcPr>
          <w:p w14:paraId="009CF795">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4E8DF4C9">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7F5CF530">
            <w:pPr>
              <w:spacing w:line="360" w:lineRule="auto"/>
              <w:jc w:val="center"/>
              <w:rPr>
                <w:rFonts w:ascii="宋体" w:hAnsi="宋体" w:cs="宋体"/>
                <w:kern w:val="0"/>
                <w:sz w:val="24"/>
              </w:rPr>
            </w:pPr>
            <w:r>
              <w:rPr>
                <w:rFonts w:hint="eastAsia" w:ascii="宋体" w:hAnsi="宋体" w:cs="宋体"/>
                <w:sz w:val="24"/>
              </w:rPr>
              <w:t>资产盘点表</w:t>
            </w:r>
          </w:p>
        </w:tc>
        <w:tc>
          <w:tcPr>
            <w:tcW w:w="1787" w:type="dxa"/>
            <w:vAlign w:val="center"/>
          </w:tcPr>
          <w:p w14:paraId="7FCADA8D">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29B419D2">
            <w:pPr>
              <w:spacing w:line="360" w:lineRule="auto"/>
              <w:rPr>
                <w:rFonts w:ascii="宋体" w:hAnsi="宋体" w:cs="宋体"/>
                <w:kern w:val="0"/>
                <w:sz w:val="22"/>
              </w:rPr>
            </w:pPr>
          </w:p>
        </w:tc>
      </w:tr>
      <w:tr w14:paraId="5B835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86A30AB">
            <w:pPr>
              <w:spacing w:line="360" w:lineRule="auto"/>
              <w:jc w:val="center"/>
              <w:rPr>
                <w:rFonts w:ascii="宋体" w:hAnsi="宋体" w:cs="宋体"/>
                <w:kern w:val="0"/>
                <w:sz w:val="24"/>
              </w:rPr>
            </w:pPr>
          </w:p>
        </w:tc>
        <w:tc>
          <w:tcPr>
            <w:tcW w:w="2051" w:type="dxa"/>
            <w:vMerge w:val="continue"/>
            <w:vAlign w:val="center"/>
          </w:tcPr>
          <w:p w14:paraId="7F0E5A65">
            <w:pPr>
              <w:spacing w:line="360" w:lineRule="auto"/>
              <w:jc w:val="center"/>
              <w:rPr>
                <w:rFonts w:ascii="宋体" w:hAnsi="宋体" w:cs="宋体"/>
                <w:kern w:val="0"/>
                <w:sz w:val="24"/>
              </w:rPr>
            </w:pPr>
          </w:p>
        </w:tc>
        <w:tc>
          <w:tcPr>
            <w:tcW w:w="2061" w:type="dxa"/>
            <w:vAlign w:val="center"/>
          </w:tcPr>
          <w:p w14:paraId="5B4566C2">
            <w:pPr>
              <w:spacing w:line="360" w:lineRule="auto"/>
              <w:jc w:val="center"/>
              <w:rPr>
                <w:rFonts w:ascii="宋体" w:hAnsi="宋体" w:cs="宋体"/>
                <w:kern w:val="0"/>
                <w:sz w:val="24"/>
              </w:rPr>
            </w:pPr>
            <w:r>
              <w:rPr>
                <w:rFonts w:hint="eastAsia" w:ascii="宋体" w:hAnsi="宋体" w:cs="宋体"/>
                <w:sz w:val="24"/>
              </w:rPr>
              <w:t>项目管理制度健全性</w:t>
            </w:r>
          </w:p>
        </w:tc>
        <w:tc>
          <w:tcPr>
            <w:tcW w:w="1987" w:type="dxa"/>
            <w:vAlign w:val="center"/>
          </w:tcPr>
          <w:p w14:paraId="27EB63A3">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344DA119">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686578C4">
            <w:pPr>
              <w:spacing w:line="360" w:lineRule="auto"/>
              <w:jc w:val="center"/>
              <w:rPr>
                <w:rFonts w:ascii="宋体" w:hAnsi="宋体" w:cs="宋体"/>
                <w:kern w:val="0"/>
                <w:sz w:val="24"/>
              </w:rPr>
            </w:pPr>
            <w:r>
              <w:rPr>
                <w:rFonts w:hint="eastAsia" w:ascii="宋体" w:hAnsi="宋体" w:cs="宋体"/>
                <w:sz w:val="24"/>
              </w:rPr>
              <w:tab/>
              <w:t>项目管理制度</w:t>
            </w:r>
          </w:p>
        </w:tc>
        <w:tc>
          <w:tcPr>
            <w:tcW w:w="1787" w:type="dxa"/>
            <w:vAlign w:val="center"/>
          </w:tcPr>
          <w:p w14:paraId="3DCF39A6">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35A4AAE">
            <w:pPr>
              <w:spacing w:line="360" w:lineRule="auto"/>
              <w:rPr>
                <w:rFonts w:ascii="宋体" w:hAnsi="宋体" w:cs="宋体"/>
                <w:kern w:val="0"/>
                <w:sz w:val="22"/>
              </w:rPr>
            </w:pPr>
          </w:p>
        </w:tc>
      </w:tr>
      <w:tr w14:paraId="2F198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8AE423F">
            <w:pPr>
              <w:spacing w:line="360" w:lineRule="auto"/>
              <w:jc w:val="center"/>
              <w:rPr>
                <w:rFonts w:ascii="宋体" w:hAnsi="宋体" w:cs="宋体"/>
                <w:kern w:val="0"/>
                <w:sz w:val="24"/>
              </w:rPr>
            </w:pPr>
          </w:p>
        </w:tc>
        <w:tc>
          <w:tcPr>
            <w:tcW w:w="2051" w:type="dxa"/>
            <w:vMerge w:val="continue"/>
            <w:vAlign w:val="center"/>
          </w:tcPr>
          <w:p w14:paraId="2E2317BB">
            <w:pPr>
              <w:spacing w:line="360" w:lineRule="auto"/>
              <w:jc w:val="center"/>
              <w:rPr>
                <w:rFonts w:ascii="宋体" w:hAnsi="宋体" w:cs="宋体"/>
                <w:kern w:val="0"/>
                <w:sz w:val="24"/>
              </w:rPr>
            </w:pPr>
          </w:p>
        </w:tc>
        <w:tc>
          <w:tcPr>
            <w:tcW w:w="2061" w:type="dxa"/>
            <w:vAlign w:val="center"/>
          </w:tcPr>
          <w:p w14:paraId="5A1E1336">
            <w:pPr>
              <w:spacing w:line="360" w:lineRule="auto"/>
              <w:jc w:val="center"/>
              <w:rPr>
                <w:rFonts w:ascii="宋体" w:hAnsi="宋体" w:cs="宋体"/>
                <w:kern w:val="0"/>
                <w:sz w:val="24"/>
              </w:rPr>
            </w:pPr>
            <w:r>
              <w:rPr>
                <w:rFonts w:hint="eastAsia" w:ascii="宋体" w:hAnsi="宋体" w:cs="宋体"/>
                <w:sz w:val="24"/>
              </w:rPr>
              <w:t>项目管理制度执行规范性</w:t>
            </w:r>
          </w:p>
        </w:tc>
        <w:tc>
          <w:tcPr>
            <w:tcW w:w="1987" w:type="dxa"/>
            <w:vAlign w:val="center"/>
          </w:tcPr>
          <w:p w14:paraId="18336196">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14:paraId="5881DFB0">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14:paraId="48EA72BE">
            <w:pPr>
              <w:spacing w:line="360" w:lineRule="auto"/>
              <w:jc w:val="center"/>
              <w:rPr>
                <w:rFonts w:ascii="宋体" w:hAnsi="宋体" w:cs="宋体"/>
                <w:kern w:val="0"/>
                <w:sz w:val="24"/>
              </w:rPr>
            </w:pPr>
            <w:r>
              <w:rPr>
                <w:rFonts w:hint="eastAsia" w:ascii="宋体" w:hAnsi="宋体" w:cs="宋体"/>
                <w:sz w:val="24"/>
              </w:rPr>
              <w:t>项目管理制度、项目管理档案</w:t>
            </w:r>
          </w:p>
        </w:tc>
        <w:tc>
          <w:tcPr>
            <w:tcW w:w="1787" w:type="dxa"/>
            <w:vAlign w:val="center"/>
          </w:tcPr>
          <w:p w14:paraId="125AE1C4">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3F7AEC35">
            <w:pPr>
              <w:spacing w:line="360" w:lineRule="auto"/>
              <w:rPr>
                <w:rFonts w:ascii="宋体" w:hAnsi="宋体" w:cs="宋体"/>
                <w:kern w:val="0"/>
                <w:sz w:val="22"/>
              </w:rPr>
            </w:pPr>
          </w:p>
        </w:tc>
      </w:tr>
      <w:tr w14:paraId="3FFD0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4F201B2">
            <w:pPr>
              <w:spacing w:line="360" w:lineRule="auto"/>
              <w:jc w:val="center"/>
              <w:rPr>
                <w:rFonts w:ascii="宋体" w:hAnsi="宋体" w:cs="宋体"/>
                <w:kern w:val="0"/>
                <w:sz w:val="24"/>
              </w:rPr>
            </w:pPr>
          </w:p>
        </w:tc>
        <w:tc>
          <w:tcPr>
            <w:tcW w:w="2051" w:type="dxa"/>
            <w:vMerge w:val="continue"/>
            <w:vAlign w:val="center"/>
          </w:tcPr>
          <w:p w14:paraId="3F380927">
            <w:pPr>
              <w:spacing w:line="360" w:lineRule="auto"/>
              <w:jc w:val="center"/>
              <w:rPr>
                <w:rFonts w:ascii="宋体" w:hAnsi="宋体" w:cs="宋体"/>
                <w:kern w:val="0"/>
                <w:sz w:val="24"/>
              </w:rPr>
            </w:pPr>
          </w:p>
        </w:tc>
        <w:tc>
          <w:tcPr>
            <w:tcW w:w="2061" w:type="dxa"/>
            <w:vAlign w:val="center"/>
          </w:tcPr>
          <w:p w14:paraId="0166F6B3">
            <w:pPr>
              <w:spacing w:line="360" w:lineRule="auto"/>
              <w:jc w:val="center"/>
              <w:rPr>
                <w:rFonts w:ascii="宋体" w:hAnsi="宋体" w:cs="宋体"/>
                <w:kern w:val="0"/>
                <w:sz w:val="24"/>
              </w:rPr>
            </w:pPr>
            <w:r>
              <w:rPr>
                <w:rFonts w:hint="eastAsia" w:ascii="宋体" w:hAnsi="宋体" w:cs="宋体"/>
                <w:sz w:val="24"/>
              </w:rPr>
              <w:t>在职人员控制率</w:t>
            </w:r>
          </w:p>
        </w:tc>
        <w:tc>
          <w:tcPr>
            <w:tcW w:w="1987" w:type="dxa"/>
            <w:vAlign w:val="center"/>
          </w:tcPr>
          <w:p w14:paraId="011CC8B8">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3C38499D">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1C61500A">
            <w:pPr>
              <w:spacing w:line="360" w:lineRule="auto"/>
              <w:jc w:val="center"/>
              <w:rPr>
                <w:rFonts w:ascii="宋体" w:hAnsi="宋体" w:cs="宋体"/>
                <w:kern w:val="0"/>
                <w:sz w:val="24"/>
              </w:rPr>
            </w:pPr>
            <w:r>
              <w:rPr>
                <w:rFonts w:hint="eastAsia" w:ascii="宋体" w:hAnsi="宋体" w:cs="宋体"/>
                <w:sz w:val="24"/>
              </w:rPr>
              <w:t>编办审批文件</w:t>
            </w:r>
          </w:p>
        </w:tc>
        <w:tc>
          <w:tcPr>
            <w:tcW w:w="1787" w:type="dxa"/>
            <w:vAlign w:val="center"/>
          </w:tcPr>
          <w:p w14:paraId="2EC852B3">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1B78B067">
            <w:pPr>
              <w:spacing w:line="360" w:lineRule="auto"/>
              <w:rPr>
                <w:rFonts w:ascii="宋体" w:hAnsi="宋体" w:cs="宋体"/>
                <w:kern w:val="0"/>
                <w:sz w:val="22"/>
              </w:rPr>
            </w:pPr>
          </w:p>
        </w:tc>
      </w:tr>
      <w:tr w14:paraId="22026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BBCCA8C">
            <w:pPr>
              <w:spacing w:line="360" w:lineRule="auto"/>
              <w:jc w:val="center"/>
              <w:rPr>
                <w:rFonts w:ascii="宋体" w:hAnsi="宋体" w:cs="宋体"/>
                <w:kern w:val="0"/>
                <w:sz w:val="24"/>
              </w:rPr>
            </w:pPr>
          </w:p>
        </w:tc>
        <w:tc>
          <w:tcPr>
            <w:tcW w:w="2051" w:type="dxa"/>
            <w:vMerge w:val="continue"/>
            <w:vAlign w:val="center"/>
          </w:tcPr>
          <w:p w14:paraId="729E544F">
            <w:pPr>
              <w:spacing w:line="360" w:lineRule="auto"/>
              <w:jc w:val="center"/>
              <w:rPr>
                <w:rFonts w:ascii="宋体" w:hAnsi="宋体" w:cs="宋体"/>
                <w:kern w:val="0"/>
                <w:sz w:val="24"/>
              </w:rPr>
            </w:pPr>
          </w:p>
        </w:tc>
        <w:tc>
          <w:tcPr>
            <w:tcW w:w="2061" w:type="dxa"/>
            <w:vAlign w:val="center"/>
          </w:tcPr>
          <w:p w14:paraId="34FDF479">
            <w:pPr>
              <w:spacing w:line="360" w:lineRule="auto"/>
              <w:jc w:val="center"/>
              <w:rPr>
                <w:rFonts w:ascii="宋体" w:hAnsi="宋体" w:cs="宋体"/>
                <w:kern w:val="0"/>
                <w:sz w:val="24"/>
              </w:rPr>
            </w:pPr>
            <w:r>
              <w:rPr>
                <w:rFonts w:hint="eastAsia" w:ascii="宋体" w:hAnsi="宋体" w:cs="宋体"/>
                <w:sz w:val="24"/>
              </w:rPr>
              <w:t>人员管理制度健全性</w:t>
            </w:r>
          </w:p>
        </w:tc>
        <w:tc>
          <w:tcPr>
            <w:tcW w:w="1987" w:type="dxa"/>
            <w:vAlign w:val="center"/>
          </w:tcPr>
          <w:p w14:paraId="4EBC8A25">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6DC1377B">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6C506C31">
            <w:pPr>
              <w:spacing w:line="360" w:lineRule="auto"/>
              <w:jc w:val="center"/>
              <w:rPr>
                <w:rFonts w:ascii="宋体" w:hAnsi="宋体" w:cs="宋体"/>
                <w:kern w:val="0"/>
                <w:sz w:val="24"/>
              </w:rPr>
            </w:pPr>
            <w:r>
              <w:rPr>
                <w:rFonts w:hint="eastAsia" w:ascii="宋体" w:hAnsi="宋体" w:cs="宋体"/>
                <w:sz w:val="24"/>
              </w:rPr>
              <w:t>人事管理制度</w:t>
            </w:r>
          </w:p>
        </w:tc>
        <w:tc>
          <w:tcPr>
            <w:tcW w:w="1787" w:type="dxa"/>
            <w:vAlign w:val="center"/>
          </w:tcPr>
          <w:p w14:paraId="5EBF35A7">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72145A9">
            <w:pPr>
              <w:spacing w:line="360" w:lineRule="auto"/>
              <w:rPr>
                <w:rFonts w:ascii="宋体" w:hAnsi="宋体" w:cs="宋体"/>
                <w:kern w:val="0"/>
                <w:sz w:val="22"/>
              </w:rPr>
            </w:pPr>
          </w:p>
        </w:tc>
      </w:tr>
      <w:tr w14:paraId="0C172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8FD198E">
            <w:pPr>
              <w:spacing w:line="360" w:lineRule="auto"/>
              <w:jc w:val="center"/>
              <w:rPr>
                <w:rFonts w:ascii="宋体" w:hAnsi="宋体" w:cs="宋体"/>
                <w:kern w:val="0"/>
                <w:sz w:val="24"/>
              </w:rPr>
            </w:pPr>
          </w:p>
        </w:tc>
        <w:tc>
          <w:tcPr>
            <w:tcW w:w="2051" w:type="dxa"/>
            <w:vMerge w:val="continue"/>
            <w:vAlign w:val="center"/>
          </w:tcPr>
          <w:p w14:paraId="1B153682">
            <w:pPr>
              <w:spacing w:line="360" w:lineRule="auto"/>
              <w:jc w:val="center"/>
              <w:rPr>
                <w:rFonts w:ascii="宋体" w:hAnsi="宋体" w:cs="宋体"/>
                <w:kern w:val="0"/>
                <w:sz w:val="24"/>
              </w:rPr>
            </w:pPr>
          </w:p>
        </w:tc>
        <w:tc>
          <w:tcPr>
            <w:tcW w:w="2061" w:type="dxa"/>
            <w:vAlign w:val="center"/>
          </w:tcPr>
          <w:p w14:paraId="6154ABAF">
            <w:pPr>
              <w:spacing w:line="360" w:lineRule="auto"/>
              <w:jc w:val="center"/>
              <w:rPr>
                <w:rFonts w:ascii="宋体" w:hAnsi="宋体" w:cs="宋体"/>
                <w:kern w:val="0"/>
                <w:sz w:val="24"/>
              </w:rPr>
            </w:pPr>
            <w:r>
              <w:rPr>
                <w:rFonts w:hint="eastAsia" w:ascii="宋体" w:hAnsi="宋体" w:cs="宋体"/>
                <w:sz w:val="24"/>
              </w:rPr>
              <w:t>人员管理制度执行有效性</w:t>
            </w:r>
          </w:p>
        </w:tc>
        <w:tc>
          <w:tcPr>
            <w:tcW w:w="1987" w:type="dxa"/>
            <w:vAlign w:val="center"/>
          </w:tcPr>
          <w:p w14:paraId="73EF6E16">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14:paraId="6566E3AF">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14:paraId="0A902CE3">
            <w:pPr>
              <w:spacing w:line="360" w:lineRule="auto"/>
              <w:jc w:val="center"/>
              <w:rPr>
                <w:rFonts w:ascii="宋体" w:hAnsi="宋体" w:cs="宋体"/>
                <w:kern w:val="0"/>
                <w:sz w:val="24"/>
              </w:rPr>
            </w:pPr>
            <w:r>
              <w:rPr>
                <w:rFonts w:hint="eastAsia" w:ascii="宋体" w:hAnsi="宋体" w:cs="宋体"/>
                <w:sz w:val="24"/>
              </w:rPr>
              <w:t>人事管理制度、人事档案</w:t>
            </w:r>
          </w:p>
        </w:tc>
        <w:tc>
          <w:tcPr>
            <w:tcW w:w="1787" w:type="dxa"/>
            <w:vAlign w:val="center"/>
          </w:tcPr>
          <w:p w14:paraId="3F29C365">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2EFA6154">
            <w:pPr>
              <w:spacing w:line="360" w:lineRule="auto"/>
              <w:rPr>
                <w:rFonts w:ascii="宋体" w:hAnsi="宋体" w:cs="宋体"/>
                <w:kern w:val="0"/>
                <w:sz w:val="22"/>
              </w:rPr>
            </w:pPr>
          </w:p>
        </w:tc>
      </w:tr>
      <w:tr w14:paraId="41F67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5B454B2">
            <w:pPr>
              <w:spacing w:line="360" w:lineRule="auto"/>
              <w:jc w:val="center"/>
              <w:rPr>
                <w:rFonts w:ascii="宋体" w:hAnsi="宋体" w:cs="宋体"/>
                <w:kern w:val="0"/>
                <w:sz w:val="24"/>
              </w:rPr>
            </w:pPr>
          </w:p>
        </w:tc>
        <w:tc>
          <w:tcPr>
            <w:tcW w:w="2051" w:type="dxa"/>
            <w:vMerge w:val="continue"/>
            <w:vAlign w:val="center"/>
          </w:tcPr>
          <w:p w14:paraId="372FB910">
            <w:pPr>
              <w:spacing w:line="360" w:lineRule="auto"/>
              <w:jc w:val="center"/>
              <w:rPr>
                <w:rFonts w:ascii="宋体" w:hAnsi="宋体" w:cs="宋体"/>
                <w:kern w:val="0"/>
                <w:sz w:val="24"/>
              </w:rPr>
            </w:pPr>
          </w:p>
        </w:tc>
        <w:tc>
          <w:tcPr>
            <w:tcW w:w="2061" w:type="dxa"/>
            <w:vAlign w:val="center"/>
          </w:tcPr>
          <w:p w14:paraId="282B59FC">
            <w:pPr>
              <w:spacing w:line="360" w:lineRule="auto"/>
              <w:jc w:val="center"/>
              <w:rPr>
                <w:rFonts w:ascii="宋体" w:hAnsi="宋体" w:cs="宋体"/>
                <w:kern w:val="0"/>
                <w:sz w:val="24"/>
              </w:rPr>
            </w:pPr>
            <w:r>
              <w:rPr>
                <w:rFonts w:hint="eastAsia" w:ascii="宋体" w:hAnsi="宋体" w:cs="宋体"/>
                <w:sz w:val="24"/>
              </w:rPr>
              <w:t>纪检监察工作有效性</w:t>
            </w:r>
          </w:p>
        </w:tc>
        <w:tc>
          <w:tcPr>
            <w:tcW w:w="1987" w:type="dxa"/>
            <w:vAlign w:val="center"/>
          </w:tcPr>
          <w:p w14:paraId="54A66C9B">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14:paraId="1AC02A17">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14:paraId="45831976">
            <w:pPr>
              <w:spacing w:line="360" w:lineRule="auto"/>
              <w:jc w:val="center"/>
              <w:rPr>
                <w:rFonts w:ascii="宋体" w:hAnsi="宋体" w:cs="宋体"/>
                <w:kern w:val="0"/>
                <w:sz w:val="24"/>
              </w:rPr>
            </w:pPr>
            <w:r>
              <w:rPr>
                <w:rFonts w:hint="eastAsia" w:ascii="宋体" w:hAnsi="宋体" w:cs="宋体"/>
                <w:sz w:val="24"/>
              </w:rPr>
              <w:t>办公会会议记录</w:t>
            </w:r>
          </w:p>
        </w:tc>
        <w:tc>
          <w:tcPr>
            <w:tcW w:w="1787" w:type="dxa"/>
            <w:vAlign w:val="center"/>
          </w:tcPr>
          <w:p w14:paraId="37E41CF1">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6E469754">
            <w:pPr>
              <w:spacing w:line="360" w:lineRule="auto"/>
              <w:rPr>
                <w:rFonts w:ascii="宋体" w:hAnsi="宋体" w:cs="宋体"/>
                <w:kern w:val="0"/>
                <w:sz w:val="22"/>
              </w:rPr>
            </w:pPr>
          </w:p>
        </w:tc>
      </w:tr>
      <w:tr w14:paraId="02D16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3340458">
            <w:pPr>
              <w:spacing w:line="360" w:lineRule="auto"/>
              <w:jc w:val="center"/>
              <w:rPr>
                <w:rFonts w:ascii="宋体" w:hAnsi="宋体" w:cs="宋体"/>
                <w:kern w:val="0"/>
                <w:sz w:val="24"/>
              </w:rPr>
            </w:pPr>
          </w:p>
        </w:tc>
        <w:tc>
          <w:tcPr>
            <w:tcW w:w="2051" w:type="dxa"/>
            <w:vMerge w:val="continue"/>
            <w:vAlign w:val="center"/>
          </w:tcPr>
          <w:p w14:paraId="60B399CF">
            <w:pPr>
              <w:spacing w:line="360" w:lineRule="auto"/>
              <w:jc w:val="center"/>
              <w:rPr>
                <w:rFonts w:ascii="宋体" w:hAnsi="宋体" w:cs="宋体"/>
                <w:kern w:val="0"/>
                <w:sz w:val="24"/>
              </w:rPr>
            </w:pPr>
          </w:p>
        </w:tc>
        <w:tc>
          <w:tcPr>
            <w:tcW w:w="2061" w:type="dxa"/>
            <w:vAlign w:val="center"/>
          </w:tcPr>
          <w:p w14:paraId="3FB2A5A8">
            <w:pPr>
              <w:spacing w:line="360" w:lineRule="auto"/>
              <w:jc w:val="center"/>
              <w:rPr>
                <w:rFonts w:ascii="宋体" w:hAnsi="宋体" w:cs="宋体"/>
                <w:kern w:val="0"/>
                <w:sz w:val="24"/>
              </w:rPr>
            </w:pPr>
            <w:r>
              <w:rPr>
                <w:rFonts w:hint="eastAsia" w:ascii="宋体" w:hAnsi="宋体" w:cs="宋体"/>
                <w:sz w:val="24"/>
              </w:rPr>
              <w:t>业务学习与培训及时完成率</w:t>
            </w:r>
          </w:p>
        </w:tc>
        <w:tc>
          <w:tcPr>
            <w:tcW w:w="1987" w:type="dxa"/>
            <w:vAlign w:val="center"/>
          </w:tcPr>
          <w:p w14:paraId="68400197">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120A21DF">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4A71F45D">
            <w:pPr>
              <w:spacing w:line="360" w:lineRule="auto"/>
              <w:jc w:val="center"/>
              <w:rPr>
                <w:rFonts w:ascii="宋体" w:hAnsi="宋体" w:cs="宋体"/>
                <w:kern w:val="0"/>
                <w:sz w:val="24"/>
              </w:rPr>
            </w:pPr>
            <w:r>
              <w:rPr>
                <w:rFonts w:hint="eastAsia" w:ascii="宋体" w:hAnsi="宋体" w:cs="宋体"/>
                <w:sz w:val="24"/>
              </w:rPr>
              <w:t>培训费支出明细</w:t>
            </w:r>
          </w:p>
        </w:tc>
        <w:tc>
          <w:tcPr>
            <w:tcW w:w="1787" w:type="dxa"/>
            <w:vAlign w:val="center"/>
          </w:tcPr>
          <w:p w14:paraId="0E686F9C">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18261CEE">
            <w:pPr>
              <w:spacing w:line="360" w:lineRule="auto"/>
              <w:rPr>
                <w:rFonts w:ascii="宋体" w:hAnsi="宋体" w:cs="宋体"/>
                <w:kern w:val="0"/>
                <w:sz w:val="22"/>
              </w:rPr>
            </w:pPr>
          </w:p>
        </w:tc>
      </w:tr>
      <w:tr w14:paraId="6E5F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3728C2E">
            <w:pPr>
              <w:spacing w:line="360" w:lineRule="auto"/>
              <w:jc w:val="center"/>
              <w:rPr>
                <w:rFonts w:ascii="宋体" w:hAnsi="宋体" w:cs="宋体"/>
                <w:kern w:val="0"/>
                <w:sz w:val="24"/>
              </w:rPr>
            </w:pPr>
          </w:p>
        </w:tc>
        <w:tc>
          <w:tcPr>
            <w:tcW w:w="2051" w:type="dxa"/>
            <w:vMerge w:val="continue"/>
            <w:vAlign w:val="center"/>
          </w:tcPr>
          <w:p w14:paraId="707ACA91">
            <w:pPr>
              <w:spacing w:line="360" w:lineRule="auto"/>
              <w:jc w:val="center"/>
              <w:rPr>
                <w:rFonts w:ascii="宋体" w:hAnsi="宋体" w:cs="宋体"/>
                <w:kern w:val="0"/>
                <w:sz w:val="24"/>
              </w:rPr>
            </w:pPr>
          </w:p>
        </w:tc>
        <w:tc>
          <w:tcPr>
            <w:tcW w:w="2061" w:type="dxa"/>
            <w:vAlign w:val="center"/>
          </w:tcPr>
          <w:p w14:paraId="6B39AB50">
            <w:pPr>
              <w:spacing w:line="360" w:lineRule="auto"/>
              <w:jc w:val="center"/>
              <w:rPr>
                <w:rFonts w:ascii="宋体" w:hAnsi="宋体" w:cs="宋体"/>
                <w:kern w:val="0"/>
                <w:sz w:val="24"/>
              </w:rPr>
            </w:pPr>
            <w:r>
              <w:rPr>
                <w:rFonts w:hint="eastAsia" w:ascii="宋体" w:hAnsi="宋体" w:cs="宋体"/>
                <w:sz w:val="24"/>
              </w:rPr>
              <w:t>组织建设工作及时完成率</w:t>
            </w:r>
          </w:p>
        </w:tc>
        <w:tc>
          <w:tcPr>
            <w:tcW w:w="1987" w:type="dxa"/>
            <w:vAlign w:val="center"/>
          </w:tcPr>
          <w:p w14:paraId="0F2BC97B">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200A1A3F">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7BC1781E">
            <w:pPr>
              <w:spacing w:line="360" w:lineRule="auto"/>
              <w:jc w:val="center"/>
              <w:rPr>
                <w:rFonts w:ascii="宋体" w:hAnsi="宋体" w:cs="宋体"/>
                <w:kern w:val="0"/>
                <w:sz w:val="24"/>
              </w:rPr>
            </w:pPr>
            <w:r>
              <w:rPr>
                <w:rFonts w:hint="eastAsia" w:ascii="宋体" w:hAnsi="宋体" w:cs="宋体"/>
                <w:sz w:val="24"/>
              </w:rPr>
              <w:t>事业单位法人证</w:t>
            </w:r>
          </w:p>
        </w:tc>
        <w:tc>
          <w:tcPr>
            <w:tcW w:w="1787" w:type="dxa"/>
            <w:vAlign w:val="center"/>
          </w:tcPr>
          <w:p w14:paraId="41AEA128">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49C24CCA">
            <w:pPr>
              <w:spacing w:line="360" w:lineRule="auto"/>
              <w:rPr>
                <w:rFonts w:ascii="宋体" w:hAnsi="宋体" w:cs="宋体"/>
                <w:kern w:val="0"/>
                <w:sz w:val="22"/>
              </w:rPr>
            </w:pPr>
          </w:p>
        </w:tc>
      </w:tr>
      <w:tr w14:paraId="4D768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65E97A4">
            <w:pPr>
              <w:spacing w:line="360" w:lineRule="auto"/>
              <w:jc w:val="center"/>
              <w:rPr>
                <w:rFonts w:ascii="宋体" w:hAnsi="宋体" w:cs="宋体"/>
                <w:kern w:val="0"/>
                <w:sz w:val="24"/>
              </w:rPr>
            </w:pPr>
          </w:p>
        </w:tc>
        <w:tc>
          <w:tcPr>
            <w:tcW w:w="2051" w:type="dxa"/>
            <w:vMerge w:val="continue"/>
            <w:vAlign w:val="center"/>
          </w:tcPr>
          <w:p w14:paraId="68E4ED4B">
            <w:pPr>
              <w:spacing w:line="360" w:lineRule="auto"/>
              <w:jc w:val="center"/>
              <w:rPr>
                <w:rFonts w:ascii="宋体" w:hAnsi="宋体" w:cs="宋体"/>
                <w:kern w:val="0"/>
                <w:sz w:val="24"/>
              </w:rPr>
            </w:pPr>
          </w:p>
        </w:tc>
        <w:tc>
          <w:tcPr>
            <w:tcW w:w="2061" w:type="dxa"/>
            <w:vAlign w:val="center"/>
          </w:tcPr>
          <w:p w14:paraId="4DC0D56F">
            <w:pPr>
              <w:spacing w:line="360" w:lineRule="auto"/>
              <w:jc w:val="center"/>
              <w:rPr>
                <w:rFonts w:ascii="宋体" w:hAnsi="宋体" w:cs="宋体"/>
                <w:kern w:val="0"/>
                <w:sz w:val="24"/>
              </w:rPr>
            </w:pPr>
            <w:r>
              <w:rPr>
                <w:rFonts w:hint="eastAsia" w:ascii="宋体" w:hAnsi="宋体" w:cs="宋体"/>
                <w:sz w:val="24"/>
              </w:rPr>
              <w:t>预算偏差率</w:t>
            </w:r>
          </w:p>
        </w:tc>
        <w:tc>
          <w:tcPr>
            <w:tcW w:w="1987" w:type="dxa"/>
            <w:vAlign w:val="center"/>
          </w:tcPr>
          <w:p w14:paraId="3FE8A0B3">
            <w:pPr>
              <w:spacing w:line="360" w:lineRule="auto"/>
              <w:jc w:val="center"/>
              <w:rPr>
                <w:rFonts w:ascii="宋体" w:hAnsi="宋体" w:cs="宋体"/>
                <w:kern w:val="0"/>
                <w:sz w:val="24"/>
              </w:rPr>
            </w:pPr>
            <w:r>
              <w:rPr>
                <w:rFonts w:hint="eastAsia" w:ascii="宋体" w:hAnsi="宋体" w:cs="宋体"/>
                <w:sz w:val="24"/>
              </w:rPr>
              <w:t>&lt;=10%</w:t>
            </w:r>
          </w:p>
        </w:tc>
        <w:tc>
          <w:tcPr>
            <w:tcW w:w="1799" w:type="dxa"/>
            <w:vAlign w:val="center"/>
          </w:tcPr>
          <w:p w14:paraId="371DFB94">
            <w:pPr>
              <w:spacing w:line="360" w:lineRule="auto"/>
              <w:jc w:val="center"/>
              <w:rPr>
                <w:rFonts w:ascii="宋体" w:hAnsi="宋体" w:cs="宋体"/>
                <w:kern w:val="0"/>
                <w:sz w:val="24"/>
              </w:rPr>
            </w:pPr>
            <w:r>
              <w:rPr>
                <w:rFonts w:hint="eastAsia" w:ascii="宋体" w:hAnsi="宋体" w:cs="宋体"/>
                <w:sz w:val="24"/>
              </w:rPr>
              <w:t>131.25%</w:t>
            </w:r>
          </w:p>
        </w:tc>
        <w:tc>
          <w:tcPr>
            <w:tcW w:w="1866" w:type="dxa"/>
            <w:vAlign w:val="center"/>
          </w:tcPr>
          <w:p w14:paraId="5D05B44F">
            <w:pPr>
              <w:spacing w:line="360" w:lineRule="auto"/>
              <w:jc w:val="center"/>
              <w:rPr>
                <w:rFonts w:ascii="宋体" w:hAnsi="宋体" w:cs="宋体"/>
                <w:kern w:val="0"/>
                <w:sz w:val="24"/>
              </w:rPr>
            </w:pPr>
            <w:r>
              <w:rPr>
                <w:rFonts w:hint="eastAsia" w:ascii="宋体" w:hAnsi="宋体" w:cs="宋体"/>
                <w:sz w:val="24"/>
              </w:rPr>
              <w:t>2025年部门决算</w:t>
            </w:r>
          </w:p>
        </w:tc>
        <w:tc>
          <w:tcPr>
            <w:tcW w:w="1787" w:type="dxa"/>
            <w:vAlign w:val="center"/>
          </w:tcPr>
          <w:p w14:paraId="000CD6EA">
            <w:pPr>
              <w:spacing w:line="360" w:lineRule="auto"/>
              <w:jc w:val="center"/>
              <w:rPr>
                <w:rFonts w:ascii="宋体" w:hAnsi="宋体" w:cs="宋体"/>
                <w:kern w:val="0"/>
                <w:sz w:val="24"/>
              </w:rPr>
            </w:pPr>
            <w:r>
              <w:rPr>
                <w:rFonts w:hint="eastAsia" w:ascii="宋体" w:hAnsi="宋体" w:cs="宋体"/>
                <w:sz w:val="24"/>
              </w:rPr>
              <w:t>1212.50%</w:t>
            </w:r>
          </w:p>
        </w:tc>
        <w:tc>
          <w:tcPr>
            <w:tcW w:w="1071" w:type="dxa"/>
          </w:tcPr>
          <w:p w14:paraId="7AB03B7D">
            <w:pPr>
              <w:spacing w:line="360" w:lineRule="auto"/>
              <w:rPr>
                <w:rFonts w:ascii="宋体" w:hAnsi="宋体" w:cs="宋体"/>
                <w:kern w:val="0"/>
                <w:sz w:val="22"/>
              </w:rPr>
            </w:pPr>
            <w:r>
              <w:rPr>
                <w:rFonts w:hint="eastAsia" w:ascii="宋体" w:hAnsi="宋体" w:cs="宋体"/>
                <w:sz w:val="24"/>
              </w:rPr>
              <w:t>年内收到上级专项补助资金522.24万元，导致预算偏差率较大</w:t>
            </w:r>
          </w:p>
        </w:tc>
      </w:tr>
      <w:tr w14:paraId="0F411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C03990E">
            <w:pPr>
              <w:spacing w:line="360" w:lineRule="auto"/>
              <w:jc w:val="center"/>
              <w:rPr>
                <w:rFonts w:ascii="宋体" w:hAnsi="宋体" w:cs="宋体"/>
                <w:kern w:val="0"/>
                <w:sz w:val="24"/>
              </w:rPr>
            </w:pPr>
          </w:p>
        </w:tc>
        <w:tc>
          <w:tcPr>
            <w:tcW w:w="2051" w:type="dxa"/>
            <w:vMerge w:val="continue"/>
            <w:vAlign w:val="center"/>
          </w:tcPr>
          <w:p w14:paraId="7925CC29">
            <w:pPr>
              <w:spacing w:line="360" w:lineRule="auto"/>
              <w:jc w:val="center"/>
              <w:rPr>
                <w:rFonts w:ascii="宋体" w:hAnsi="宋体" w:cs="宋体"/>
                <w:kern w:val="0"/>
                <w:sz w:val="24"/>
              </w:rPr>
            </w:pPr>
          </w:p>
        </w:tc>
        <w:tc>
          <w:tcPr>
            <w:tcW w:w="2061" w:type="dxa"/>
            <w:vAlign w:val="center"/>
          </w:tcPr>
          <w:p w14:paraId="6F3360EF">
            <w:pPr>
              <w:spacing w:line="360" w:lineRule="auto"/>
              <w:jc w:val="center"/>
              <w:rPr>
                <w:rFonts w:ascii="宋体" w:hAnsi="宋体" w:cs="宋体"/>
                <w:kern w:val="0"/>
                <w:sz w:val="24"/>
              </w:rPr>
            </w:pPr>
            <w:r>
              <w:rPr>
                <w:rFonts w:hint="eastAsia" w:ascii="宋体" w:hAnsi="宋体" w:cs="宋体"/>
                <w:sz w:val="24"/>
              </w:rPr>
              <w:t>非税收入预算完成率</w:t>
            </w:r>
          </w:p>
        </w:tc>
        <w:tc>
          <w:tcPr>
            <w:tcW w:w="1987" w:type="dxa"/>
            <w:vAlign w:val="center"/>
          </w:tcPr>
          <w:p w14:paraId="51974F70">
            <w:pPr>
              <w:spacing w:line="360" w:lineRule="auto"/>
              <w:jc w:val="center"/>
              <w:rPr>
                <w:rFonts w:ascii="宋体" w:hAnsi="宋体" w:cs="宋体"/>
                <w:kern w:val="0"/>
                <w:sz w:val="24"/>
              </w:rPr>
            </w:pPr>
            <w:r>
              <w:rPr>
                <w:rFonts w:hint="eastAsia" w:ascii="宋体" w:hAnsi="宋体" w:cs="宋体"/>
                <w:sz w:val="24"/>
              </w:rPr>
              <w:t>&gt;=100%</w:t>
            </w:r>
          </w:p>
        </w:tc>
        <w:tc>
          <w:tcPr>
            <w:tcW w:w="1799" w:type="dxa"/>
            <w:vAlign w:val="center"/>
          </w:tcPr>
          <w:p w14:paraId="391EA957">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7E994FCC">
            <w:pPr>
              <w:spacing w:line="360" w:lineRule="auto"/>
              <w:jc w:val="center"/>
              <w:rPr>
                <w:rFonts w:ascii="宋体" w:hAnsi="宋体" w:cs="宋体"/>
                <w:kern w:val="0"/>
                <w:sz w:val="24"/>
              </w:rPr>
            </w:pPr>
            <w:r>
              <w:rPr>
                <w:rFonts w:hint="eastAsia" w:ascii="宋体" w:hAnsi="宋体" w:cs="宋体"/>
                <w:sz w:val="24"/>
              </w:rPr>
              <w:t>2025年部门决算</w:t>
            </w:r>
          </w:p>
        </w:tc>
        <w:tc>
          <w:tcPr>
            <w:tcW w:w="1787" w:type="dxa"/>
            <w:vAlign w:val="center"/>
          </w:tcPr>
          <w:p w14:paraId="55B589C3">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3D994CCF">
            <w:pPr>
              <w:spacing w:line="360" w:lineRule="auto"/>
              <w:rPr>
                <w:rFonts w:ascii="宋体" w:hAnsi="宋体" w:cs="宋体"/>
                <w:kern w:val="0"/>
                <w:sz w:val="22"/>
              </w:rPr>
            </w:pPr>
          </w:p>
        </w:tc>
      </w:tr>
      <w:tr w14:paraId="54269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0484DA6">
            <w:pPr>
              <w:spacing w:line="360" w:lineRule="auto"/>
              <w:jc w:val="center"/>
              <w:rPr>
                <w:rFonts w:ascii="宋体" w:hAnsi="宋体" w:cs="宋体"/>
                <w:kern w:val="0"/>
                <w:sz w:val="24"/>
              </w:rPr>
            </w:pPr>
          </w:p>
        </w:tc>
        <w:tc>
          <w:tcPr>
            <w:tcW w:w="2051" w:type="dxa"/>
            <w:vMerge w:val="continue"/>
            <w:vAlign w:val="center"/>
          </w:tcPr>
          <w:p w14:paraId="7E9F6336">
            <w:pPr>
              <w:spacing w:line="360" w:lineRule="auto"/>
              <w:jc w:val="center"/>
              <w:rPr>
                <w:rFonts w:ascii="宋体" w:hAnsi="宋体" w:cs="宋体"/>
                <w:kern w:val="0"/>
                <w:sz w:val="24"/>
              </w:rPr>
            </w:pPr>
          </w:p>
        </w:tc>
        <w:tc>
          <w:tcPr>
            <w:tcW w:w="2061" w:type="dxa"/>
            <w:vAlign w:val="center"/>
          </w:tcPr>
          <w:p w14:paraId="6CCD4B72">
            <w:pPr>
              <w:spacing w:line="360" w:lineRule="auto"/>
              <w:jc w:val="center"/>
              <w:rPr>
                <w:rFonts w:ascii="宋体" w:hAnsi="宋体" w:cs="宋体"/>
                <w:kern w:val="0"/>
                <w:sz w:val="24"/>
              </w:rPr>
            </w:pPr>
            <w:r>
              <w:rPr>
                <w:rFonts w:hint="eastAsia" w:ascii="宋体" w:hAnsi="宋体" w:cs="宋体"/>
                <w:sz w:val="24"/>
              </w:rPr>
              <w:t>预算调整率</w:t>
            </w:r>
          </w:p>
        </w:tc>
        <w:tc>
          <w:tcPr>
            <w:tcW w:w="1987" w:type="dxa"/>
            <w:vAlign w:val="center"/>
          </w:tcPr>
          <w:p w14:paraId="13216196">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14:paraId="4D375E7A">
            <w:pPr>
              <w:spacing w:line="360" w:lineRule="auto"/>
              <w:jc w:val="center"/>
              <w:rPr>
                <w:rFonts w:ascii="宋体" w:hAnsi="宋体" w:cs="宋体"/>
                <w:kern w:val="0"/>
                <w:sz w:val="24"/>
              </w:rPr>
            </w:pPr>
            <w:r>
              <w:rPr>
                <w:rFonts w:hint="eastAsia" w:ascii="宋体" w:hAnsi="宋体" w:cs="宋体"/>
                <w:sz w:val="24"/>
              </w:rPr>
              <w:t>140.1%</w:t>
            </w:r>
          </w:p>
        </w:tc>
        <w:tc>
          <w:tcPr>
            <w:tcW w:w="1866" w:type="dxa"/>
            <w:vAlign w:val="center"/>
          </w:tcPr>
          <w:p w14:paraId="75D6107A">
            <w:pPr>
              <w:spacing w:line="360" w:lineRule="auto"/>
              <w:jc w:val="center"/>
              <w:rPr>
                <w:rFonts w:ascii="宋体" w:hAnsi="宋体" w:cs="宋体"/>
                <w:kern w:val="0"/>
                <w:sz w:val="24"/>
              </w:rPr>
            </w:pPr>
            <w:r>
              <w:rPr>
                <w:rFonts w:hint="eastAsia" w:ascii="宋体" w:hAnsi="宋体" w:cs="宋体"/>
                <w:sz w:val="24"/>
              </w:rPr>
              <w:t>2025年部门决算</w:t>
            </w:r>
          </w:p>
        </w:tc>
        <w:tc>
          <w:tcPr>
            <w:tcW w:w="1787" w:type="dxa"/>
            <w:vAlign w:val="center"/>
          </w:tcPr>
          <w:p w14:paraId="1DBA205D">
            <w:pPr>
              <w:spacing w:line="360" w:lineRule="auto"/>
              <w:jc w:val="center"/>
              <w:rPr>
                <w:rFonts w:ascii="宋体" w:hAnsi="宋体" w:cs="宋体"/>
                <w:kern w:val="0"/>
                <w:sz w:val="24"/>
              </w:rPr>
            </w:pPr>
            <w:r>
              <w:rPr>
                <w:rFonts w:hint="eastAsia" w:ascii="宋体" w:hAnsi="宋体" w:cs="宋体"/>
                <w:sz w:val="24"/>
              </w:rPr>
              <w:t>100%</w:t>
            </w:r>
          </w:p>
        </w:tc>
        <w:tc>
          <w:tcPr>
            <w:tcW w:w="1071" w:type="dxa"/>
          </w:tcPr>
          <w:p w14:paraId="016E553C">
            <w:pPr>
              <w:spacing w:line="360" w:lineRule="auto"/>
              <w:rPr>
                <w:rFonts w:ascii="宋体" w:hAnsi="宋体" w:cs="宋体"/>
                <w:kern w:val="0"/>
                <w:sz w:val="22"/>
              </w:rPr>
            </w:pPr>
            <w:r>
              <w:rPr>
                <w:rFonts w:hint="eastAsia" w:ascii="宋体" w:hAnsi="宋体" w:cs="宋体"/>
                <w:sz w:val="24"/>
              </w:rPr>
              <w:t>年内基本支出预算较年初调增73.18万元，项目支出预算较年初调增554.57万元，主要是新增了专项补助资金项目522.24万元。</w:t>
            </w:r>
          </w:p>
        </w:tc>
      </w:tr>
      <w:tr w14:paraId="0EECD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5497810">
            <w:pPr>
              <w:spacing w:line="360" w:lineRule="auto"/>
              <w:jc w:val="center"/>
              <w:rPr>
                <w:rFonts w:ascii="宋体" w:hAnsi="宋体" w:cs="宋体"/>
                <w:kern w:val="0"/>
                <w:sz w:val="24"/>
              </w:rPr>
            </w:pPr>
          </w:p>
        </w:tc>
        <w:tc>
          <w:tcPr>
            <w:tcW w:w="2051" w:type="dxa"/>
            <w:vMerge w:val="continue"/>
            <w:vAlign w:val="center"/>
          </w:tcPr>
          <w:p w14:paraId="021EFD04">
            <w:pPr>
              <w:spacing w:line="360" w:lineRule="auto"/>
              <w:jc w:val="center"/>
              <w:rPr>
                <w:rFonts w:ascii="宋体" w:hAnsi="宋体" w:cs="宋体"/>
                <w:kern w:val="0"/>
                <w:sz w:val="24"/>
              </w:rPr>
            </w:pPr>
          </w:p>
        </w:tc>
        <w:tc>
          <w:tcPr>
            <w:tcW w:w="2061" w:type="dxa"/>
            <w:vAlign w:val="center"/>
          </w:tcPr>
          <w:p w14:paraId="22E63407">
            <w:pPr>
              <w:spacing w:line="360" w:lineRule="auto"/>
              <w:jc w:val="center"/>
              <w:rPr>
                <w:rFonts w:ascii="宋体" w:hAnsi="宋体" w:cs="宋体"/>
                <w:kern w:val="0"/>
                <w:sz w:val="24"/>
              </w:rPr>
            </w:pPr>
            <w:r>
              <w:rPr>
                <w:rFonts w:hint="eastAsia" w:ascii="宋体" w:hAnsi="宋体" w:cs="宋体"/>
                <w:sz w:val="24"/>
              </w:rPr>
              <w:t>结转结余率</w:t>
            </w:r>
          </w:p>
        </w:tc>
        <w:tc>
          <w:tcPr>
            <w:tcW w:w="1987" w:type="dxa"/>
            <w:vAlign w:val="center"/>
          </w:tcPr>
          <w:p w14:paraId="74027246">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14:paraId="34949D3E">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14:paraId="32D2B674">
            <w:pPr>
              <w:spacing w:line="360" w:lineRule="auto"/>
              <w:jc w:val="center"/>
              <w:rPr>
                <w:rFonts w:ascii="宋体" w:hAnsi="宋体" w:cs="宋体"/>
                <w:kern w:val="0"/>
                <w:sz w:val="24"/>
              </w:rPr>
            </w:pPr>
            <w:r>
              <w:rPr>
                <w:rFonts w:hint="eastAsia" w:ascii="宋体" w:hAnsi="宋体" w:cs="宋体"/>
                <w:sz w:val="24"/>
              </w:rPr>
              <w:t>2025年部门决算</w:t>
            </w:r>
          </w:p>
        </w:tc>
        <w:tc>
          <w:tcPr>
            <w:tcW w:w="1787" w:type="dxa"/>
            <w:vAlign w:val="center"/>
          </w:tcPr>
          <w:p w14:paraId="5C13EE5B">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62EDDEE9">
            <w:pPr>
              <w:spacing w:line="360" w:lineRule="auto"/>
              <w:rPr>
                <w:rFonts w:ascii="宋体" w:hAnsi="宋体" w:cs="宋体"/>
                <w:kern w:val="0"/>
                <w:sz w:val="22"/>
              </w:rPr>
            </w:pPr>
          </w:p>
        </w:tc>
      </w:tr>
      <w:tr w14:paraId="2431E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B02125E">
            <w:pPr>
              <w:spacing w:line="360" w:lineRule="auto"/>
              <w:jc w:val="center"/>
              <w:rPr>
                <w:rFonts w:ascii="宋体" w:hAnsi="宋体" w:cs="宋体"/>
                <w:kern w:val="0"/>
                <w:sz w:val="24"/>
              </w:rPr>
            </w:pPr>
          </w:p>
        </w:tc>
        <w:tc>
          <w:tcPr>
            <w:tcW w:w="2051" w:type="dxa"/>
            <w:vMerge w:val="continue"/>
            <w:vAlign w:val="center"/>
          </w:tcPr>
          <w:p w14:paraId="2B6B2848">
            <w:pPr>
              <w:spacing w:line="360" w:lineRule="auto"/>
              <w:jc w:val="center"/>
              <w:rPr>
                <w:rFonts w:ascii="宋体" w:hAnsi="宋体" w:cs="宋体"/>
                <w:kern w:val="0"/>
                <w:sz w:val="24"/>
              </w:rPr>
            </w:pPr>
          </w:p>
        </w:tc>
        <w:tc>
          <w:tcPr>
            <w:tcW w:w="2061" w:type="dxa"/>
            <w:vAlign w:val="center"/>
          </w:tcPr>
          <w:p w14:paraId="466D5E04">
            <w:pPr>
              <w:spacing w:line="360" w:lineRule="auto"/>
              <w:jc w:val="center"/>
              <w:rPr>
                <w:rFonts w:ascii="宋体" w:hAnsi="宋体" w:cs="宋体"/>
                <w:kern w:val="0"/>
                <w:sz w:val="24"/>
              </w:rPr>
            </w:pPr>
            <w:r>
              <w:rPr>
                <w:rFonts w:hint="eastAsia" w:ascii="宋体" w:hAnsi="宋体" w:cs="宋体"/>
                <w:sz w:val="24"/>
              </w:rPr>
              <w:t>公用经费控制率</w:t>
            </w:r>
          </w:p>
        </w:tc>
        <w:tc>
          <w:tcPr>
            <w:tcW w:w="1987" w:type="dxa"/>
            <w:vAlign w:val="center"/>
          </w:tcPr>
          <w:p w14:paraId="5436D406">
            <w:pPr>
              <w:spacing w:line="360" w:lineRule="auto"/>
              <w:jc w:val="center"/>
              <w:rPr>
                <w:rFonts w:ascii="宋体" w:hAnsi="宋体" w:cs="宋体"/>
                <w:kern w:val="0"/>
                <w:sz w:val="24"/>
              </w:rPr>
            </w:pPr>
            <w:r>
              <w:rPr>
                <w:rFonts w:hint="eastAsia" w:ascii="宋体" w:hAnsi="宋体" w:cs="宋体"/>
                <w:sz w:val="24"/>
              </w:rPr>
              <w:t>&lt;=100%</w:t>
            </w:r>
          </w:p>
        </w:tc>
        <w:tc>
          <w:tcPr>
            <w:tcW w:w="1799" w:type="dxa"/>
            <w:vAlign w:val="center"/>
          </w:tcPr>
          <w:p w14:paraId="3B86F618">
            <w:pPr>
              <w:spacing w:line="360" w:lineRule="auto"/>
              <w:jc w:val="center"/>
              <w:rPr>
                <w:rFonts w:ascii="宋体" w:hAnsi="宋体" w:cs="宋体"/>
                <w:kern w:val="0"/>
                <w:sz w:val="24"/>
              </w:rPr>
            </w:pPr>
            <w:r>
              <w:rPr>
                <w:rFonts w:hint="eastAsia" w:ascii="宋体" w:hAnsi="宋体" w:cs="宋体"/>
                <w:sz w:val="24"/>
              </w:rPr>
              <w:t>80.36%</w:t>
            </w:r>
          </w:p>
        </w:tc>
        <w:tc>
          <w:tcPr>
            <w:tcW w:w="1866" w:type="dxa"/>
            <w:vAlign w:val="center"/>
          </w:tcPr>
          <w:p w14:paraId="0D18FFF0">
            <w:pPr>
              <w:spacing w:line="360" w:lineRule="auto"/>
              <w:jc w:val="center"/>
              <w:rPr>
                <w:rFonts w:ascii="宋体" w:hAnsi="宋体" w:cs="宋体"/>
                <w:kern w:val="0"/>
                <w:sz w:val="24"/>
              </w:rPr>
            </w:pPr>
            <w:r>
              <w:rPr>
                <w:rFonts w:hint="eastAsia" w:ascii="宋体" w:hAnsi="宋体" w:cs="宋体"/>
                <w:sz w:val="24"/>
              </w:rPr>
              <w:t>2025年部门决算</w:t>
            </w:r>
          </w:p>
        </w:tc>
        <w:tc>
          <w:tcPr>
            <w:tcW w:w="1787" w:type="dxa"/>
            <w:vAlign w:val="center"/>
          </w:tcPr>
          <w:p w14:paraId="76FC11AC">
            <w:pPr>
              <w:spacing w:line="360" w:lineRule="auto"/>
              <w:jc w:val="center"/>
              <w:rPr>
                <w:rFonts w:ascii="宋体" w:hAnsi="宋体" w:cs="宋体"/>
                <w:kern w:val="0"/>
                <w:sz w:val="24"/>
              </w:rPr>
            </w:pPr>
            <w:r>
              <w:rPr>
                <w:rFonts w:hint="eastAsia" w:ascii="宋体" w:hAnsi="宋体" w:cs="宋体"/>
                <w:sz w:val="24"/>
              </w:rPr>
              <w:t>-19.64%</w:t>
            </w:r>
          </w:p>
        </w:tc>
        <w:tc>
          <w:tcPr>
            <w:tcW w:w="1071" w:type="dxa"/>
          </w:tcPr>
          <w:p w14:paraId="1EEB2C9E">
            <w:pPr>
              <w:spacing w:line="360" w:lineRule="auto"/>
              <w:rPr>
                <w:rFonts w:ascii="宋体" w:hAnsi="宋体" w:cs="宋体"/>
                <w:kern w:val="0"/>
                <w:sz w:val="22"/>
              </w:rPr>
            </w:pPr>
            <w:r>
              <w:rPr>
                <w:rFonts w:hint="eastAsia" w:ascii="宋体" w:hAnsi="宋体" w:cs="宋体"/>
                <w:sz w:val="24"/>
              </w:rPr>
              <w:t>因节约开支办公经费支出低于年初预算数</w:t>
            </w:r>
          </w:p>
        </w:tc>
      </w:tr>
      <w:tr w14:paraId="5A8F2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0D2F12C">
            <w:pPr>
              <w:spacing w:line="360" w:lineRule="auto"/>
              <w:jc w:val="center"/>
              <w:rPr>
                <w:rFonts w:ascii="宋体" w:hAnsi="宋体" w:cs="宋体"/>
                <w:kern w:val="0"/>
                <w:sz w:val="24"/>
              </w:rPr>
            </w:pPr>
          </w:p>
        </w:tc>
        <w:tc>
          <w:tcPr>
            <w:tcW w:w="2051" w:type="dxa"/>
            <w:vMerge w:val="continue"/>
            <w:vAlign w:val="center"/>
          </w:tcPr>
          <w:p w14:paraId="4E31E6DA">
            <w:pPr>
              <w:spacing w:line="360" w:lineRule="auto"/>
              <w:jc w:val="center"/>
              <w:rPr>
                <w:rFonts w:ascii="宋体" w:hAnsi="宋体" w:cs="宋体"/>
                <w:kern w:val="0"/>
                <w:sz w:val="24"/>
              </w:rPr>
            </w:pPr>
          </w:p>
        </w:tc>
        <w:tc>
          <w:tcPr>
            <w:tcW w:w="2061" w:type="dxa"/>
            <w:vAlign w:val="center"/>
          </w:tcPr>
          <w:p w14:paraId="015CF7F3">
            <w:pPr>
              <w:spacing w:line="360" w:lineRule="auto"/>
              <w:jc w:val="center"/>
              <w:rPr>
                <w:rFonts w:ascii="宋体" w:hAnsi="宋体" w:cs="宋体"/>
                <w:kern w:val="0"/>
                <w:sz w:val="24"/>
              </w:rPr>
            </w:pPr>
            <w:r>
              <w:rPr>
                <w:rFonts w:hint="eastAsia" w:ascii="宋体" w:hAnsi="宋体" w:cs="宋体"/>
                <w:sz w:val="24"/>
              </w:rPr>
              <w:t>支付进度符合率</w:t>
            </w:r>
          </w:p>
        </w:tc>
        <w:tc>
          <w:tcPr>
            <w:tcW w:w="1987" w:type="dxa"/>
            <w:vAlign w:val="center"/>
          </w:tcPr>
          <w:p w14:paraId="3B038A34">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4D6C522A">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509FAEE1">
            <w:pPr>
              <w:spacing w:line="360" w:lineRule="auto"/>
              <w:jc w:val="center"/>
              <w:rPr>
                <w:rFonts w:ascii="宋体" w:hAnsi="宋体" w:cs="宋体"/>
                <w:kern w:val="0"/>
                <w:sz w:val="24"/>
              </w:rPr>
            </w:pPr>
            <w:r>
              <w:rPr>
                <w:rFonts w:hint="eastAsia" w:ascii="宋体" w:hAnsi="宋体" w:cs="宋体"/>
                <w:sz w:val="24"/>
              </w:rPr>
              <w:t>2025年部门决算</w:t>
            </w:r>
          </w:p>
        </w:tc>
        <w:tc>
          <w:tcPr>
            <w:tcW w:w="1787" w:type="dxa"/>
            <w:vAlign w:val="center"/>
          </w:tcPr>
          <w:p w14:paraId="2BF30B13">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07E74AAA">
            <w:pPr>
              <w:spacing w:line="360" w:lineRule="auto"/>
              <w:rPr>
                <w:rFonts w:ascii="宋体" w:hAnsi="宋体" w:cs="宋体"/>
                <w:kern w:val="0"/>
                <w:sz w:val="22"/>
              </w:rPr>
            </w:pPr>
          </w:p>
        </w:tc>
      </w:tr>
      <w:tr w14:paraId="54083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F96AFFE">
            <w:pPr>
              <w:spacing w:line="360" w:lineRule="auto"/>
              <w:jc w:val="center"/>
              <w:rPr>
                <w:rFonts w:ascii="宋体" w:hAnsi="宋体" w:cs="宋体"/>
                <w:kern w:val="0"/>
                <w:sz w:val="24"/>
              </w:rPr>
            </w:pPr>
          </w:p>
        </w:tc>
        <w:tc>
          <w:tcPr>
            <w:tcW w:w="2051" w:type="dxa"/>
            <w:vMerge w:val="continue"/>
            <w:vAlign w:val="center"/>
          </w:tcPr>
          <w:p w14:paraId="64FB4DAB">
            <w:pPr>
              <w:spacing w:line="360" w:lineRule="auto"/>
              <w:jc w:val="center"/>
              <w:rPr>
                <w:rFonts w:ascii="宋体" w:hAnsi="宋体" w:cs="宋体"/>
                <w:kern w:val="0"/>
                <w:sz w:val="24"/>
              </w:rPr>
            </w:pPr>
          </w:p>
        </w:tc>
        <w:tc>
          <w:tcPr>
            <w:tcW w:w="2061" w:type="dxa"/>
            <w:vAlign w:val="center"/>
          </w:tcPr>
          <w:p w14:paraId="4EAEBB32">
            <w:pPr>
              <w:spacing w:line="360" w:lineRule="auto"/>
              <w:jc w:val="center"/>
              <w:rPr>
                <w:rFonts w:ascii="宋体" w:hAnsi="宋体" w:cs="宋体"/>
                <w:kern w:val="0"/>
                <w:sz w:val="24"/>
              </w:rPr>
            </w:pPr>
            <w:r>
              <w:rPr>
                <w:rFonts w:hint="eastAsia" w:ascii="宋体" w:hAnsi="宋体" w:cs="宋体"/>
                <w:sz w:val="24"/>
              </w:rPr>
              <w:t>政府采购执行率</w:t>
            </w:r>
          </w:p>
        </w:tc>
        <w:tc>
          <w:tcPr>
            <w:tcW w:w="1987" w:type="dxa"/>
            <w:vAlign w:val="center"/>
          </w:tcPr>
          <w:p w14:paraId="63E0FA2C">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03665044">
            <w:pPr>
              <w:spacing w:line="360" w:lineRule="auto"/>
              <w:jc w:val="center"/>
              <w:rPr>
                <w:rFonts w:ascii="宋体" w:hAnsi="宋体" w:cs="宋体"/>
                <w:kern w:val="0"/>
                <w:sz w:val="24"/>
              </w:rPr>
            </w:pPr>
            <w:r>
              <w:rPr>
                <w:rFonts w:hint="eastAsia" w:ascii="宋体" w:hAnsi="宋体" w:cs="宋体"/>
                <w:sz w:val="24"/>
              </w:rPr>
              <w:t>98.41%</w:t>
            </w:r>
          </w:p>
        </w:tc>
        <w:tc>
          <w:tcPr>
            <w:tcW w:w="1866" w:type="dxa"/>
            <w:vAlign w:val="center"/>
          </w:tcPr>
          <w:p w14:paraId="1D510F6E">
            <w:pPr>
              <w:spacing w:line="360" w:lineRule="auto"/>
              <w:jc w:val="center"/>
              <w:rPr>
                <w:rFonts w:ascii="宋体" w:hAnsi="宋体" w:cs="宋体"/>
                <w:kern w:val="0"/>
                <w:sz w:val="24"/>
              </w:rPr>
            </w:pPr>
            <w:r>
              <w:rPr>
                <w:rFonts w:hint="eastAsia" w:ascii="宋体" w:hAnsi="宋体" w:cs="宋体"/>
                <w:sz w:val="24"/>
              </w:rPr>
              <w:t>2025年部门决算</w:t>
            </w:r>
          </w:p>
        </w:tc>
        <w:tc>
          <w:tcPr>
            <w:tcW w:w="1787" w:type="dxa"/>
            <w:vAlign w:val="center"/>
          </w:tcPr>
          <w:p w14:paraId="0AECA098">
            <w:pPr>
              <w:spacing w:line="360" w:lineRule="auto"/>
              <w:jc w:val="center"/>
              <w:rPr>
                <w:rFonts w:ascii="宋体" w:hAnsi="宋体" w:cs="宋体"/>
                <w:kern w:val="0"/>
                <w:sz w:val="24"/>
              </w:rPr>
            </w:pPr>
            <w:r>
              <w:rPr>
                <w:rFonts w:hint="eastAsia" w:ascii="宋体" w:hAnsi="宋体" w:cs="宋体"/>
                <w:sz w:val="24"/>
              </w:rPr>
              <w:t>-1.59%</w:t>
            </w:r>
          </w:p>
        </w:tc>
        <w:tc>
          <w:tcPr>
            <w:tcW w:w="1071" w:type="dxa"/>
          </w:tcPr>
          <w:p w14:paraId="575F497E">
            <w:pPr>
              <w:spacing w:line="360" w:lineRule="auto"/>
              <w:rPr>
                <w:rFonts w:ascii="宋体" w:hAnsi="宋体" w:cs="宋体"/>
                <w:kern w:val="0"/>
                <w:sz w:val="22"/>
              </w:rPr>
            </w:pPr>
            <w:r>
              <w:rPr>
                <w:rFonts w:hint="eastAsia" w:ascii="宋体" w:hAnsi="宋体" w:cs="宋体"/>
                <w:sz w:val="24"/>
              </w:rPr>
              <w:t>政府采购实际中标金额低于预算金额</w:t>
            </w:r>
          </w:p>
        </w:tc>
      </w:tr>
      <w:tr w14:paraId="1C189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2F4BCE6">
            <w:pPr>
              <w:spacing w:line="360" w:lineRule="auto"/>
              <w:jc w:val="center"/>
              <w:rPr>
                <w:rFonts w:ascii="宋体" w:hAnsi="宋体" w:cs="宋体"/>
                <w:kern w:val="0"/>
                <w:sz w:val="24"/>
              </w:rPr>
            </w:pPr>
          </w:p>
        </w:tc>
        <w:tc>
          <w:tcPr>
            <w:tcW w:w="2051" w:type="dxa"/>
            <w:vMerge w:val="continue"/>
            <w:vAlign w:val="center"/>
          </w:tcPr>
          <w:p w14:paraId="3C755F00">
            <w:pPr>
              <w:spacing w:line="360" w:lineRule="auto"/>
              <w:jc w:val="center"/>
              <w:rPr>
                <w:rFonts w:ascii="宋体" w:hAnsi="宋体" w:cs="宋体"/>
                <w:kern w:val="0"/>
                <w:sz w:val="24"/>
              </w:rPr>
            </w:pPr>
          </w:p>
        </w:tc>
        <w:tc>
          <w:tcPr>
            <w:tcW w:w="2061" w:type="dxa"/>
            <w:vAlign w:val="center"/>
          </w:tcPr>
          <w:p w14:paraId="249356E7">
            <w:pPr>
              <w:spacing w:line="360" w:lineRule="auto"/>
              <w:jc w:val="center"/>
              <w:rPr>
                <w:rFonts w:ascii="宋体" w:hAnsi="宋体" w:cs="宋体"/>
                <w:kern w:val="0"/>
                <w:sz w:val="24"/>
              </w:rPr>
            </w:pPr>
            <w:r>
              <w:rPr>
                <w:rFonts w:hint="eastAsia" w:ascii="宋体" w:hAnsi="宋体" w:cs="宋体"/>
                <w:sz w:val="24"/>
              </w:rPr>
              <w:t>“三公经费”变动率</w:t>
            </w:r>
          </w:p>
        </w:tc>
        <w:tc>
          <w:tcPr>
            <w:tcW w:w="1987" w:type="dxa"/>
            <w:vAlign w:val="center"/>
          </w:tcPr>
          <w:p w14:paraId="0C08EAC4">
            <w:pPr>
              <w:spacing w:line="360" w:lineRule="auto"/>
              <w:jc w:val="center"/>
              <w:rPr>
                <w:rFonts w:ascii="宋体" w:hAnsi="宋体" w:cs="宋体"/>
                <w:kern w:val="0"/>
                <w:sz w:val="24"/>
              </w:rPr>
            </w:pPr>
            <w:r>
              <w:rPr>
                <w:rFonts w:hint="eastAsia" w:ascii="宋体" w:hAnsi="宋体" w:cs="宋体"/>
                <w:sz w:val="24"/>
              </w:rPr>
              <w:t>&lt;=0%</w:t>
            </w:r>
          </w:p>
        </w:tc>
        <w:tc>
          <w:tcPr>
            <w:tcW w:w="1799" w:type="dxa"/>
            <w:vAlign w:val="center"/>
          </w:tcPr>
          <w:p w14:paraId="678DA8E2">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14:paraId="30E68D55">
            <w:pPr>
              <w:spacing w:line="360" w:lineRule="auto"/>
              <w:jc w:val="center"/>
              <w:rPr>
                <w:rFonts w:ascii="宋体" w:hAnsi="宋体" w:cs="宋体"/>
                <w:kern w:val="0"/>
                <w:sz w:val="24"/>
              </w:rPr>
            </w:pPr>
            <w:r>
              <w:rPr>
                <w:rFonts w:hint="eastAsia" w:ascii="宋体" w:hAnsi="宋体" w:cs="宋体"/>
                <w:sz w:val="24"/>
              </w:rPr>
              <w:t>2025年部门决算</w:t>
            </w:r>
          </w:p>
        </w:tc>
        <w:tc>
          <w:tcPr>
            <w:tcW w:w="1787" w:type="dxa"/>
            <w:vAlign w:val="center"/>
          </w:tcPr>
          <w:p w14:paraId="5BA44AA8">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054D68AC">
            <w:pPr>
              <w:spacing w:line="360" w:lineRule="auto"/>
              <w:rPr>
                <w:rFonts w:ascii="宋体" w:hAnsi="宋体" w:cs="宋体"/>
                <w:kern w:val="0"/>
                <w:sz w:val="22"/>
              </w:rPr>
            </w:pPr>
          </w:p>
        </w:tc>
      </w:tr>
      <w:tr w14:paraId="79A0C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4583CB2">
            <w:pPr>
              <w:spacing w:line="360" w:lineRule="auto"/>
              <w:jc w:val="center"/>
              <w:rPr>
                <w:rFonts w:ascii="宋体" w:hAnsi="宋体" w:cs="宋体"/>
                <w:kern w:val="0"/>
                <w:sz w:val="24"/>
              </w:rPr>
            </w:pPr>
          </w:p>
        </w:tc>
        <w:tc>
          <w:tcPr>
            <w:tcW w:w="2051" w:type="dxa"/>
            <w:vMerge w:val="continue"/>
            <w:vAlign w:val="center"/>
          </w:tcPr>
          <w:p w14:paraId="2A5FB17F">
            <w:pPr>
              <w:spacing w:line="360" w:lineRule="auto"/>
              <w:jc w:val="center"/>
              <w:rPr>
                <w:rFonts w:ascii="宋体" w:hAnsi="宋体" w:cs="宋体"/>
                <w:kern w:val="0"/>
                <w:sz w:val="24"/>
              </w:rPr>
            </w:pPr>
          </w:p>
        </w:tc>
        <w:tc>
          <w:tcPr>
            <w:tcW w:w="2061" w:type="dxa"/>
            <w:vAlign w:val="center"/>
          </w:tcPr>
          <w:p w14:paraId="5A28B5AA">
            <w:pPr>
              <w:spacing w:line="360" w:lineRule="auto"/>
              <w:jc w:val="center"/>
              <w:rPr>
                <w:rFonts w:ascii="宋体" w:hAnsi="宋体" w:cs="宋体"/>
                <w:kern w:val="0"/>
                <w:sz w:val="24"/>
              </w:rPr>
            </w:pPr>
            <w:r>
              <w:rPr>
                <w:rFonts w:hint="eastAsia" w:ascii="宋体" w:hAnsi="宋体" w:cs="宋体"/>
                <w:sz w:val="24"/>
              </w:rPr>
              <w:t>预算执行率</w:t>
            </w:r>
          </w:p>
        </w:tc>
        <w:tc>
          <w:tcPr>
            <w:tcW w:w="1987" w:type="dxa"/>
            <w:vAlign w:val="center"/>
          </w:tcPr>
          <w:p w14:paraId="435A8B39">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5B548313">
            <w:pPr>
              <w:spacing w:line="360" w:lineRule="auto"/>
              <w:jc w:val="center"/>
              <w:rPr>
                <w:rFonts w:ascii="宋体" w:hAnsi="宋体" w:cs="宋体"/>
                <w:kern w:val="0"/>
                <w:sz w:val="24"/>
              </w:rPr>
            </w:pPr>
            <w:r>
              <w:rPr>
                <w:rFonts w:hint="eastAsia" w:ascii="宋体" w:hAnsi="宋体" w:cs="宋体"/>
                <w:sz w:val="24"/>
              </w:rPr>
              <w:t>96.31%</w:t>
            </w:r>
          </w:p>
        </w:tc>
        <w:tc>
          <w:tcPr>
            <w:tcW w:w="1866" w:type="dxa"/>
            <w:vAlign w:val="center"/>
          </w:tcPr>
          <w:p w14:paraId="028BA828">
            <w:pPr>
              <w:spacing w:line="360" w:lineRule="auto"/>
              <w:jc w:val="center"/>
              <w:rPr>
                <w:rFonts w:ascii="宋体" w:hAnsi="宋体" w:cs="宋体"/>
                <w:kern w:val="0"/>
                <w:sz w:val="24"/>
              </w:rPr>
            </w:pPr>
            <w:r>
              <w:rPr>
                <w:rFonts w:hint="eastAsia" w:ascii="宋体" w:hAnsi="宋体" w:cs="宋体"/>
                <w:sz w:val="24"/>
              </w:rPr>
              <w:t>2025年部门决算</w:t>
            </w:r>
          </w:p>
        </w:tc>
        <w:tc>
          <w:tcPr>
            <w:tcW w:w="1787" w:type="dxa"/>
            <w:vAlign w:val="center"/>
          </w:tcPr>
          <w:p w14:paraId="51B9C0CF">
            <w:pPr>
              <w:spacing w:line="360" w:lineRule="auto"/>
              <w:jc w:val="center"/>
              <w:rPr>
                <w:rFonts w:ascii="宋体" w:hAnsi="宋体" w:cs="宋体"/>
                <w:kern w:val="0"/>
                <w:sz w:val="24"/>
              </w:rPr>
            </w:pPr>
            <w:r>
              <w:rPr>
                <w:rFonts w:hint="eastAsia" w:ascii="宋体" w:hAnsi="宋体" w:cs="宋体"/>
                <w:sz w:val="24"/>
              </w:rPr>
              <w:t>-3.69%</w:t>
            </w:r>
          </w:p>
        </w:tc>
        <w:tc>
          <w:tcPr>
            <w:tcW w:w="1071" w:type="dxa"/>
          </w:tcPr>
          <w:p w14:paraId="65488279">
            <w:pPr>
              <w:spacing w:line="360" w:lineRule="auto"/>
              <w:rPr>
                <w:rFonts w:ascii="宋体" w:hAnsi="宋体" w:cs="宋体"/>
                <w:kern w:val="0"/>
                <w:sz w:val="22"/>
              </w:rPr>
            </w:pPr>
            <w:r>
              <w:rPr>
                <w:rFonts w:hint="eastAsia" w:ascii="宋体" w:hAnsi="宋体" w:cs="宋体"/>
                <w:sz w:val="24"/>
              </w:rPr>
              <w:t>年末专项补助资金结余39.68万元导致预算执行数低于调整预算数</w:t>
            </w:r>
          </w:p>
        </w:tc>
      </w:tr>
      <w:tr w14:paraId="63965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9303EF8">
            <w:pPr>
              <w:spacing w:line="360" w:lineRule="auto"/>
              <w:jc w:val="center"/>
              <w:rPr>
                <w:rFonts w:ascii="宋体" w:hAnsi="宋体" w:cs="宋体"/>
                <w:kern w:val="0"/>
                <w:sz w:val="24"/>
              </w:rPr>
            </w:pPr>
          </w:p>
        </w:tc>
        <w:tc>
          <w:tcPr>
            <w:tcW w:w="2051" w:type="dxa"/>
            <w:vMerge w:val="restart"/>
            <w:vAlign w:val="center"/>
          </w:tcPr>
          <w:p w14:paraId="5F2F218F">
            <w:pPr>
              <w:spacing w:line="360" w:lineRule="auto"/>
              <w:jc w:val="center"/>
              <w:rPr>
                <w:rFonts w:ascii="宋体" w:hAnsi="宋体" w:cs="宋体"/>
                <w:kern w:val="0"/>
                <w:sz w:val="24"/>
              </w:rPr>
            </w:pPr>
            <w:r>
              <w:rPr>
                <w:rFonts w:hint="eastAsia" w:ascii="宋体" w:hAnsi="宋体" w:cs="宋体"/>
                <w:sz w:val="24"/>
              </w:rPr>
              <w:t>效益</w:t>
            </w:r>
          </w:p>
        </w:tc>
        <w:tc>
          <w:tcPr>
            <w:tcW w:w="2061" w:type="dxa"/>
            <w:vAlign w:val="center"/>
          </w:tcPr>
          <w:p w14:paraId="6D2F29DB">
            <w:pPr>
              <w:spacing w:line="360" w:lineRule="auto"/>
              <w:jc w:val="center"/>
              <w:rPr>
                <w:rFonts w:ascii="宋体" w:hAnsi="宋体" w:cs="宋体"/>
                <w:kern w:val="0"/>
                <w:sz w:val="24"/>
              </w:rPr>
            </w:pPr>
            <w:r>
              <w:rPr>
                <w:rFonts w:hint="eastAsia" w:ascii="宋体" w:hAnsi="宋体" w:cs="宋体"/>
                <w:sz w:val="24"/>
              </w:rPr>
              <w:t>维护无线电通讯秩序</w:t>
            </w:r>
          </w:p>
        </w:tc>
        <w:tc>
          <w:tcPr>
            <w:tcW w:w="1987" w:type="dxa"/>
            <w:vAlign w:val="center"/>
          </w:tcPr>
          <w:p w14:paraId="13BE6DF0">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14:paraId="12AC11A3">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14:paraId="64C1DDCB">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4810A03F">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108782F2">
            <w:pPr>
              <w:spacing w:line="360" w:lineRule="auto"/>
              <w:rPr>
                <w:rFonts w:ascii="宋体" w:hAnsi="宋体" w:cs="宋体"/>
                <w:kern w:val="0"/>
                <w:sz w:val="22"/>
              </w:rPr>
            </w:pPr>
          </w:p>
        </w:tc>
      </w:tr>
      <w:tr w14:paraId="7E167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E72B222">
            <w:pPr>
              <w:spacing w:line="360" w:lineRule="auto"/>
              <w:jc w:val="center"/>
              <w:rPr>
                <w:rFonts w:ascii="宋体" w:hAnsi="宋体" w:cs="宋体"/>
                <w:kern w:val="0"/>
                <w:sz w:val="24"/>
              </w:rPr>
            </w:pPr>
          </w:p>
        </w:tc>
        <w:tc>
          <w:tcPr>
            <w:tcW w:w="2051" w:type="dxa"/>
            <w:vMerge w:val="continue"/>
            <w:vAlign w:val="center"/>
          </w:tcPr>
          <w:p w14:paraId="26E6CE7A">
            <w:pPr>
              <w:spacing w:line="360" w:lineRule="auto"/>
              <w:jc w:val="center"/>
              <w:rPr>
                <w:rFonts w:ascii="宋体" w:hAnsi="宋体" w:cs="宋体"/>
                <w:kern w:val="0"/>
                <w:sz w:val="24"/>
              </w:rPr>
            </w:pPr>
          </w:p>
        </w:tc>
        <w:tc>
          <w:tcPr>
            <w:tcW w:w="2061" w:type="dxa"/>
            <w:vAlign w:val="center"/>
          </w:tcPr>
          <w:p w14:paraId="503E072D">
            <w:pPr>
              <w:spacing w:line="360" w:lineRule="auto"/>
              <w:jc w:val="center"/>
              <w:rPr>
                <w:rFonts w:ascii="宋体" w:hAnsi="宋体" w:cs="宋体"/>
                <w:kern w:val="0"/>
                <w:sz w:val="24"/>
              </w:rPr>
            </w:pPr>
            <w:r>
              <w:rPr>
                <w:rFonts w:hint="eastAsia" w:ascii="宋体" w:hAnsi="宋体" w:cs="宋体"/>
                <w:sz w:val="24"/>
              </w:rPr>
              <w:t>保障管理机构频率占用费征收</w:t>
            </w:r>
          </w:p>
        </w:tc>
        <w:tc>
          <w:tcPr>
            <w:tcW w:w="1987" w:type="dxa"/>
            <w:vAlign w:val="center"/>
          </w:tcPr>
          <w:p w14:paraId="5C2BE347">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14:paraId="1C7007A5">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14:paraId="353795A2">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00594202">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C4A9385">
            <w:pPr>
              <w:spacing w:line="360" w:lineRule="auto"/>
              <w:rPr>
                <w:rFonts w:ascii="宋体" w:hAnsi="宋体" w:cs="宋体"/>
                <w:kern w:val="0"/>
                <w:sz w:val="22"/>
              </w:rPr>
            </w:pPr>
          </w:p>
        </w:tc>
      </w:tr>
      <w:tr w14:paraId="0A044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C6ADEA4">
            <w:pPr>
              <w:spacing w:line="360" w:lineRule="auto"/>
              <w:jc w:val="center"/>
              <w:rPr>
                <w:rFonts w:ascii="宋体" w:hAnsi="宋体" w:cs="宋体"/>
                <w:kern w:val="0"/>
                <w:sz w:val="24"/>
              </w:rPr>
            </w:pPr>
          </w:p>
        </w:tc>
        <w:tc>
          <w:tcPr>
            <w:tcW w:w="2051" w:type="dxa"/>
            <w:vMerge w:val="continue"/>
            <w:vAlign w:val="center"/>
          </w:tcPr>
          <w:p w14:paraId="6BC6BD76">
            <w:pPr>
              <w:spacing w:line="360" w:lineRule="auto"/>
              <w:jc w:val="center"/>
              <w:rPr>
                <w:rFonts w:ascii="宋体" w:hAnsi="宋体" w:cs="宋体"/>
                <w:kern w:val="0"/>
                <w:sz w:val="24"/>
              </w:rPr>
            </w:pPr>
          </w:p>
        </w:tc>
        <w:tc>
          <w:tcPr>
            <w:tcW w:w="2061" w:type="dxa"/>
            <w:vAlign w:val="center"/>
          </w:tcPr>
          <w:p w14:paraId="18AA53E7">
            <w:pPr>
              <w:spacing w:line="360" w:lineRule="auto"/>
              <w:jc w:val="center"/>
              <w:rPr>
                <w:rFonts w:ascii="宋体" w:hAnsi="宋体" w:cs="宋体"/>
                <w:kern w:val="0"/>
                <w:sz w:val="24"/>
              </w:rPr>
            </w:pPr>
            <w:r>
              <w:rPr>
                <w:rFonts w:hint="eastAsia" w:ascii="宋体" w:hAnsi="宋体" w:cs="宋体"/>
                <w:sz w:val="24"/>
              </w:rPr>
              <w:t>保障频谱资源有序利用，持续保障未来更多用频需求</w:t>
            </w:r>
          </w:p>
        </w:tc>
        <w:tc>
          <w:tcPr>
            <w:tcW w:w="1987" w:type="dxa"/>
            <w:vAlign w:val="center"/>
          </w:tcPr>
          <w:p w14:paraId="3335F2BE">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14:paraId="58796E3E">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14:paraId="47CB7937">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14BCEF48">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5E265C89">
            <w:pPr>
              <w:spacing w:line="360" w:lineRule="auto"/>
              <w:rPr>
                <w:rFonts w:ascii="宋体" w:hAnsi="宋体" w:cs="宋体"/>
                <w:kern w:val="0"/>
                <w:sz w:val="22"/>
              </w:rPr>
            </w:pPr>
          </w:p>
        </w:tc>
      </w:tr>
      <w:tr w14:paraId="6A9FC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856A916">
            <w:pPr>
              <w:spacing w:line="360" w:lineRule="auto"/>
              <w:jc w:val="center"/>
              <w:rPr>
                <w:rFonts w:ascii="宋体" w:hAnsi="宋体" w:cs="宋体"/>
                <w:kern w:val="0"/>
                <w:sz w:val="24"/>
              </w:rPr>
            </w:pPr>
          </w:p>
        </w:tc>
        <w:tc>
          <w:tcPr>
            <w:tcW w:w="2051" w:type="dxa"/>
            <w:vAlign w:val="center"/>
          </w:tcPr>
          <w:p w14:paraId="3087E3AE">
            <w:pPr>
              <w:spacing w:line="360" w:lineRule="auto"/>
              <w:jc w:val="center"/>
              <w:rPr>
                <w:rFonts w:ascii="宋体" w:hAnsi="宋体" w:cs="宋体"/>
                <w:kern w:val="0"/>
                <w:sz w:val="24"/>
              </w:rPr>
            </w:pPr>
            <w:r>
              <w:rPr>
                <w:rFonts w:hint="eastAsia" w:ascii="宋体" w:hAnsi="宋体" w:cs="宋体"/>
                <w:sz w:val="24"/>
              </w:rPr>
              <w:t>满意度</w:t>
            </w:r>
          </w:p>
        </w:tc>
        <w:tc>
          <w:tcPr>
            <w:tcW w:w="2061" w:type="dxa"/>
            <w:vAlign w:val="center"/>
          </w:tcPr>
          <w:p w14:paraId="544FCB67">
            <w:pPr>
              <w:spacing w:line="360" w:lineRule="auto"/>
              <w:jc w:val="center"/>
              <w:rPr>
                <w:rFonts w:ascii="宋体" w:hAnsi="宋体" w:cs="宋体"/>
                <w:kern w:val="0"/>
                <w:sz w:val="24"/>
              </w:rPr>
            </w:pPr>
            <w:r>
              <w:rPr>
                <w:rFonts w:hint="eastAsia" w:ascii="宋体" w:hAnsi="宋体" w:cs="宋体"/>
                <w:sz w:val="24"/>
              </w:rPr>
              <w:t>服务对象调查问卷满意度统计</w:t>
            </w:r>
          </w:p>
        </w:tc>
        <w:tc>
          <w:tcPr>
            <w:tcW w:w="1987" w:type="dxa"/>
            <w:vAlign w:val="center"/>
          </w:tcPr>
          <w:p w14:paraId="6F175CD3">
            <w:pPr>
              <w:spacing w:line="360" w:lineRule="auto"/>
              <w:jc w:val="center"/>
              <w:rPr>
                <w:rFonts w:ascii="宋体" w:hAnsi="宋体" w:cs="宋体"/>
                <w:kern w:val="0"/>
                <w:sz w:val="24"/>
              </w:rPr>
            </w:pPr>
            <w:r>
              <w:rPr>
                <w:rFonts w:hint="eastAsia" w:ascii="宋体" w:hAnsi="宋体" w:cs="宋体"/>
                <w:sz w:val="24"/>
              </w:rPr>
              <w:t>&gt;=90%</w:t>
            </w:r>
          </w:p>
        </w:tc>
        <w:tc>
          <w:tcPr>
            <w:tcW w:w="1799" w:type="dxa"/>
            <w:vAlign w:val="center"/>
          </w:tcPr>
          <w:p w14:paraId="4458CA21">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30809938">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262D6A38">
            <w:pPr>
              <w:spacing w:line="360" w:lineRule="auto"/>
              <w:jc w:val="center"/>
              <w:rPr>
                <w:rFonts w:ascii="宋体" w:hAnsi="宋体" w:cs="宋体"/>
                <w:kern w:val="0"/>
                <w:sz w:val="24"/>
              </w:rPr>
            </w:pPr>
            <w:r>
              <w:rPr>
                <w:rFonts w:hint="eastAsia" w:ascii="宋体" w:hAnsi="宋体" w:cs="宋体"/>
                <w:sz w:val="24"/>
              </w:rPr>
              <w:t>11.11%</w:t>
            </w:r>
          </w:p>
        </w:tc>
        <w:tc>
          <w:tcPr>
            <w:tcW w:w="1071" w:type="dxa"/>
          </w:tcPr>
          <w:p w14:paraId="720FA85E">
            <w:pPr>
              <w:spacing w:line="360" w:lineRule="auto"/>
              <w:rPr>
                <w:rFonts w:ascii="宋体" w:hAnsi="宋体" w:cs="宋体"/>
                <w:kern w:val="0"/>
                <w:sz w:val="22"/>
              </w:rPr>
            </w:pPr>
            <w:r>
              <w:rPr>
                <w:rFonts w:hint="eastAsia" w:ascii="宋体" w:hAnsi="宋体" w:cs="宋体"/>
                <w:sz w:val="24"/>
              </w:rPr>
              <w:t>未出现服务对象不满意的情况。</w:t>
            </w:r>
          </w:p>
        </w:tc>
      </w:tr>
      <w:tr w14:paraId="457B8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EFE1ED7">
            <w:pPr>
              <w:spacing w:line="360" w:lineRule="auto"/>
              <w:jc w:val="center"/>
              <w:rPr>
                <w:rFonts w:ascii="宋体" w:hAnsi="宋体" w:cs="宋体"/>
                <w:kern w:val="0"/>
                <w:sz w:val="24"/>
              </w:rPr>
            </w:pPr>
          </w:p>
        </w:tc>
        <w:tc>
          <w:tcPr>
            <w:tcW w:w="2051" w:type="dxa"/>
            <w:vMerge w:val="restart"/>
            <w:vAlign w:val="center"/>
          </w:tcPr>
          <w:p w14:paraId="62E3DE04">
            <w:pPr>
              <w:spacing w:line="360" w:lineRule="auto"/>
              <w:jc w:val="center"/>
              <w:rPr>
                <w:rFonts w:ascii="宋体" w:hAnsi="宋体" w:cs="宋体"/>
                <w:kern w:val="0"/>
                <w:sz w:val="24"/>
              </w:rPr>
            </w:pPr>
            <w:r>
              <w:rPr>
                <w:rFonts w:hint="eastAsia" w:ascii="宋体" w:hAnsi="宋体" w:cs="宋体"/>
                <w:sz w:val="24"/>
              </w:rPr>
              <w:t>履职</w:t>
            </w:r>
          </w:p>
        </w:tc>
        <w:tc>
          <w:tcPr>
            <w:tcW w:w="2061" w:type="dxa"/>
            <w:vAlign w:val="center"/>
          </w:tcPr>
          <w:p w14:paraId="1902E4A9">
            <w:pPr>
              <w:spacing w:line="360" w:lineRule="auto"/>
              <w:jc w:val="center"/>
              <w:rPr>
                <w:rFonts w:ascii="宋体" w:hAnsi="宋体" w:cs="宋体"/>
                <w:kern w:val="0"/>
                <w:sz w:val="24"/>
              </w:rPr>
            </w:pPr>
            <w:r>
              <w:rPr>
                <w:rFonts w:hint="eastAsia" w:ascii="宋体" w:hAnsi="宋体" w:cs="宋体"/>
                <w:sz w:val="24"/>
              </w:rPr>
              <w:t>监测设备完好率</w:t>
            </w:r>
          </w:p>
        </w:tc>
        <w:tc>
          <w:tcPr>
            <w:tcW w:w="1987" w:type="dxa"/>
            <w:vAlign w:val="center"/>
          </w:tcPr>
          <w:p w14:paraId="2F9FB2A5">
            <w:pPr>
              <w:spacing w:line="360" w:lineRule="auto"/>
              <w:jc w:val="center"/>
              <w:rPr>
                <w:rFonts w:ascii="宋体" w:hAnsi="宋体" w:cs="宋体"/>
                <w:kern w:val="0"/>
                <w:sz w:val="24"/>
              </w:rPr>
            </w:pPr>
            <w:r>
              <w:rPr>
                <w:rFonts w:hint="eastAsia" w:ascii="宋体" w:hAnsi="宋体" w:cs="宋体"/>
                <w:sz w:val="24"/>
              </w:rPr>
              <w:t>&gt;=90%</w:t>
            </w:r>
          </w:p>
        </w:tc>
        <w:tc>
          <w:tcPr>
            <w:tcW w:w="1799" w:type="dxa"/>
            <w:vAlign w:val="center"/>
          </w:tcPr>
          <w:p w14:paraId="2D14BE96">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6AE0520B">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29CDC353">
            <w:pPr>
              <w:spacing w:line="360" w:lineRule="auto"/>
              <w:jc w:val="center"/>
              <w:rPr>
                <w:rFonts w:ascii="宋体" w:hAnsi="宋体" w:cs="宋体"/>
                <w:kern w:val="0"/>
                <w:sz w:val="24"/>
              </w:rPr>
            </w:pPr>
            <w:r>
              <w:rPr>
                <w:rFonts w:hint="eastAsia" w:ascii="宋体" w:hAnsi="宋体" w:cs="宋体"/>
                <w:sz w:val="24"/>
              </w:rPr>
              <w:t>11.11%</w:t>
            </w:r>
          </w:p>
        </w:tc>
        <w:tc>
          <w:tcPr>
            <w:tcW w:w="1071" w:type="dxa"/>
          </w:tcPr>
          <w:p w14:paraId="54E7A6B0">
            <w:pPr>
              <w:spacing w:line="360" w:lineRule="auto"/>
              <w:rPr>
                <w:rFonts w:ascii="宋体" w:hAnsi="宋体" w:cs="宋体"/>
                <w:kern w:val="0"/>
                <w:sz w:val="22"/>
              </w:rPr>
            </w:pPr>
            <w:r>
              <w:rPr>
                <w:rFonts w:hint="eastAsia" w:ascii="宋体" w:hAnsi="宋体" w:cs="宋体"/>
                <w:sz w:val="24"/>
              </w:rPr>
              <w:t>全年设备故障均及时处理修复，未出现因供应链问题导致的维修迟滞。</w:t>
            </w:r>
          </w:p>
        </w:tc>
      </w:tr>
      <w:tr w14:paraId="44F64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A5EB94D">
            <w:pPr>
              <w:spacing w:line="360" w:lineRule="auto"/>
              <w:jc w:val="center"/>
              <w:rPr>
                <w:rFonts w:ascii="宋体" w:hAnsi="宋体" w:cs="宋体"/>
                <w:kern w:val="0"/>
                <w:sz w:val="24"/>
              </w:rPr>
            </w:pPr>
          </w:p>
        </w:tc>
        <w:tc>
          <w:tcPr>
            <w:tcW w:w="2051" w:type="dxa"/>
            <w:vMerge w:val="continue"/>
            <w:vAlign w:val="center"/>
          </w:tcPr>
          <w:p w14:paraId="300FEE8A">
            <w:pPr>
              <w:spacing w:line="360" w:lineRule="auto"/>
              <w:jc w:val="center"/>
              <w:rPr>
                <w:rFonts w:ascii="宋体" w:hAnsi="宋体" w:cs="宋体"/>
                <w:kern w:val="0"/>
                <w:sz w:val="24"/>
              </w:rPr>
            </w:pPr>
          </w:p>
        </w:tc>
        <w:tc>
          <w:tcPr>
            <w:tcW w:w="2061" w:type="dxa"/>
            <w:vAlign w:val="center"/>
          </w:tcPr>
          <w:p w14:paraId="366794F3">
            <w:pPr>
              <w:spacing w:line="360" w:lineRule="auto"/>
              <w:jc w:val="center"/>
              <w:rPr>
                <w:rFonts w:ascii="宋体" w:hAnsi="宋体" w:cs="宋体"/>
                <w:kern w:val="0"/>
                <w:sz w:val="24"/>
              </w:rPr>
            </w:pPr>
            <w:r>
              <w:rPr>
                <w:rFonts w:hint="eastAsia" w:ascii="宋体" w:hAnsi="宋体" w:cs="宋体"/>
                <w:sz w:val="24"/>
              </w:rPr>
              <w:t>监测信息化平台接入率</w:t>
            </w:r>
          </w:p>
        </w:tc>
        <w:tc>
          <w:tcPr>
            <w:tcW w:w="1987" w:type="dxa"/>
            <w:vAlign w:val="center"/>
          </w:tcPr>
          <w:p w14:paraId="7B53D729">
            <w:pPr>
              <w:spacing w:line="360" w:lineRule="auto"/>
              <w:jc w:val="center"/>
              <w:rPr>
                <w:rFonts w:ascii="宋体" w:hAnsi="宋体" w:cs="宋体"/>
                <w:kern w:val="0"/>
                <w:sz w:val="24"/>
              </w:rPr>
            </w:pPr>
            <w:r>
              <w:rPr>
                <w:rFonts w:hint="eastAsia" w:ascii="宋体" w:hAnsi="宋体" w:cs="宋体"/>
                <w:sz w:val="24"/>
              </w:rPr>
              <w:t>&gt;=90%</w:t>
            </w:r>
          </w:p>
        </w:tc>
        <w:tc>
          <w:tcPr>
            <w:tcW w:w="1799" w:type="dxa"/>
            <w:vAlign w:val="center"/>
          </w:tcPr>
          <w:p w14:paraId="6896082F">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03F23984">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5B5D4241">
            <w:pPr>
              <w:spacing w:line="360" w:lineRule="auto"/>
              <w:jc w:val="center"/>
              <w:rPr>
                <w:rFonts w:ascii="宋体" w:hAnsi="宋体" w:cs="宋体"/>
                <w:kern w:val="0"/>
                <w:sz w:val="24"/>
              </w:rPr>
            </w:pPr>
            <w:r>
              <w:rPr>
                <w:rFonts w:hint="eastAsia" w:ascii="宋体" w:hAnsi="宋体" w:cs="宋体"/>
                <w:sz w:val="24"/>
              </w:rPr>
              <w:t>11.11%</w:t>
            </w:r>
          </w:p>
        </w:tc>
        <w:tc>
          <w:tcPr>
            <w:tcW w:w="1071" w:type="dxa"/>
          </w:tcPr>
          <w:p w14:paraId="49EAE355">
            <w:pPr>
              <w:spacing w:line="360" w:lineRule="auto"/>
              <w:rPr>
                <w:rFonts w:ascii="宋体" w:hAnsi="宋体" w:cs="宋体"/>
                <w:kern w:val="0"/>
                <w:sz w:val="22"/>
              </w:rPr>
            </w:pPr>
            <w:r>
              <w:rPr>
                <w:rFonts w:hint="eastAsia" w:ascii="宋体" w:hAnsi="宋体" w:cs="宋体"/>
                <w:sz w:val="24"/>
              </w:rPr>
              <w:t>新建设施在建设完成后顺利接入了平台，未出现空窗期。</w:t>
            </w:r>
          </w:p>
        </w:tc>
      </w:tr>
      <w:tr w14:paraId="109F5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023408E">
            <w:pPr>
              <w:spacing w:line="360" w:lineRule="auto"/>
              <w:jc w:val="center"/>
              <w:rPr>
                <w:rFonts w:ascii="宋体" w:hAnsi="宋体" w:cs="宋体"/>
                <w:kern w:val="0"/>
                <w:sz w:val="24"/>
              </w:rPr>
            </w:pPr>
          </w:p>
        </w:tc>
        <w:tc>
          <w:tcPr>
            <w:tcW w:w="2051" w:type="dxa"/>
            <w:vMerge w:val="continue"/>
            <w:vAlign w:val="center"/>
          </w:tcPr>
          <w:p w14:paraId="71FEB8D6">
            <w:pPr>
              <w:spacing w:line="360" w:lineRule="auto"/>
              <w:jc w:val="center"/>
              <w:rPr>
                <w:rFonts w:ascii="宋体" w:hAnsi="宋体" w:cs="宋体"/>
                <w:kern w:val="0"/>
                <w:sz w:val="24"/>
              </w:rPr>
            </w:pPr>
          </w:p>
        </w:tc>
        <w:tc>
          <w:tcPr>
            <w:tcW w:w="2061" w:type="dxa"/>
            <w:vAlign w:val="center"/>
          </w:tcPr>
          <w:p w14:paraId="31C7F114">
            <w:pPr>
              <w:spacing w:line="360" w:lineRule="auto"/>
              <w:jc w:val="center"/>
              <w:rPr>
                <w:rFonts w:ascii="宋体" w:hAnsi="宋体" w:cs="宋体"/>
                <w:kern w:val="0"/>
                <w:sz w:val="24"/>
              </w:rPr>
            </w:pPr>
            <w:r>
              <w:rPr>
                <w:rFonts w:hint="eastAsia" w:ascii="宋体" w:hAnsi="宋体" w:cs="宋体"/>
                <w:sz w:val="24"/>
              </w:rPr>
              <w:t>开展打击“黑广播、伪基站、电信诈骗设备”专项监测</w:t>
            </w:r>
          </w:p>
        </w:tc>
        <w:tc>
          <w:tcPr>
            <w:tcW w:w="1987" w:type="dxa"/>
            <w:vAlign w:val="center"/>
          </w:tcPr>
          <w:p w14:paraId="4F56A1BC">
            <w:pPr>
              <w:spacing w:line="360" w:lineRule="auto"/>
              <w:jc w:val="center"/>
              <w:rPr>
                <w:rFonts w:ascii="宋体" w:hAnsi="宋体" w:cs="宋体"/>
                <w:kern w:val="0"/>
                <w:sz w:val="24"/>
              </w:rPr>
            </w:pPr>
            <w:r>
              <w:rPr>
                <w:rFonts w:hint="eastAsia" w:ascii="宋体" w:hAnsi="宋体" w:cs="宋体"/>
                <w:sz w:val="24"/>
              </w:rPr>
              <w:t>完成</w:t>
            </w:r>
          </w:p>
        </w:tc>
        <w:tc>
          <w:tcPr>
            <w:tcW w:w="1799" w:type="dxa"/>
            <w:vAlign w:val="center"/>
          </w:tcPr>
          <w:p w14:paraId="23BF2900">
            <w:pPr>
              <w:spacing w:line="360" w:lineRule="auto"/>
              <w:jc w:val="center"/>
              <w:rPr>
                <w:rFonts w:ascii="宋体" w:hAnsi="宋体" w:cs="宋体"/>
                <w:kern w:val="0"/>
                <w:sz w:val="24"/>
              </w:rPr>
            </w:pPr>
            <w:r>
              <w:rPr>
                <w:rFonts w:hint="eastAsia" w:ascii="宋体" w:hAnsi="宋体" w:cs="宋体"/>
                <w:sz w:val="24"/>
              </w:rPr>
              <w:t>完成</w:t>
            </w:r>
          </w:p>
        </w:tc>
        <w:tc>
          <w:tcPr>
            <w:tcW w:w="1866" w:type="dxa"/>
            <w:vAlign w:val="center"/>
          </w:tcPr>
          <w:p w14:paraId="6A618AF9">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7579F616">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2EDAD905">
            <w:pPr>
              <w:spacing w:line="360" w:lineRule="auto"/>
              <w:rPr>
                <w:rFonts w:ascii="宋体" w:hAnsi="宋体" w:cs="宋体"/>
                <w:kern w:val="0"/>
                <w:sz w:val="22"/>
              </w:rPr>
            </w:pPr>
          </w:p>
        </w:tc>
      </w:tr>
      <w:tr w14:paraId="607AB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F877002">
            <w:pPr>
              <w:spacing w:line="360" w:lineRule="auto"/>
              <w:jc w:val="center"/>
              <w:rPr>
                <w:rFonts w:ascii="宋体" w:hAnsi="宋体" w:cs="宋体"/>
                <w:kern w:val="0"/>
                <w:sz w:val="24"/>
              </w:rPr>
            </w:pPr>
          </w:p>
        </w:tc>
        <w:tc>
          <w:tcPr>
            <w:tcW w:w="2051" w:type="dxa"/>
            <w:vMerge w:val="continue"/>
            <w:vAlign w:val="center"/>
          </w:tcPr>
          <w:p w14:paraId="15ABE392">
            <w:pPr>
              <w:spacing w:line="360" w:lineRule="auto"/>
              <w:jc w:val="center"/>
              <w:rPr>
                <w:rFonts w:ascii="宋体" w:hAnsi="宋体" w:cs="宋体"/>
                <w:kern w:val="0"/>
                <w:sz w:val="24"/>
              </w:rPr>
            </w:pPr>
          </w:p>
        </w:tc>
        <w:tc>
          <w:tcPr>
            <w:tcW w:w="2061" w:type="dxa"/>
            <w:vAlign w:val="center"/>
          </w:tcPr>
          <w:p w14:paraId="30893B36">
            <w:pPr>
              <w:spacing w:line="360" w:lineRule="auto"/>
              <w:jc w:val="center"/>
              <w:rPr>
                <w:rFonts w:ascii="宋体" w:hAnsi="宋体" w:cs="宋体"/>
                <w:kern w:val="0"/>
                <w:sz w:val="24"/>
              </w:rPr>
            </w:pPr>
            <w:r>
              <w:rPr>
                <w:rFonts w:hint="eastAsia" w:ascii="宋体" w:hAnsi="宋体" w:cs="宋体"/>
                <w:sz w:val="24"/>
              </w:rPr>
              <w:t>在台站许可前对拟许可的台站进行事前检测</w:t>
            </w:r>
          </w:p>
        </w:tc>
        <w:tc>
          <w:tcPr>
            <w:tcW w:w="1987" w:type="dxa"/>
            <w:vAlign w:val="center"/>
          </w:tcPr>
          <w:p w14:paraId="716D9E13">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6F2B1FD6">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688677F2">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1D0D4794">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2F96F43E">
            <w:pPr>
              <w:spacing w:line="360" w:lineRule="auto"/>
              <w:rPr>
                <w:rFonts w:ascii="宋体" w:hAnsi="宋体" w:cs="宋体"/>
                <w:kern w:val="0"/>
                <w:sz w:val="22"/>
              </w:rPr>
            </w:pPr>
          </w:p>
        </w:tc>
      </w:tr>
      <w:tr w14:paraId="23199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A58AADF">
            <w:pPr>
              <w:spacing w:line="360" w:lineRule="auto"/>
              <w:jc w:val="center"/>
              <w:rPr>
                <w:rFonts w:ascii="宋体" w:hAnsi="宋体" w:cs="宋体"/>
                <w:kern w:val="0"/>
                <w:sz w:val="24"/>
              </w:rPr>
            </w:pPr>
          </w:p>
        </w:tc>
        <w:tc>
          <w:tcPr>
            <w:tcW w:w="2051" w:type="dxa"/>
            <w:vMerge w:val="continue"/>
            <w:vAlign w:val="center"/>
          </w:tcPr>
          <w:p w14:paraId="6711A8A6">
            <w:pPr>
              <w:spacing w:line="360" w:lineRule="auto"/>
              <w:jc w:val="center"/>
              <w:rPr>
                <w:rFonts w:ascii="宋体" w:hAnsi="宋体" w:cs="宋体"/>
                <w:kern w:val="0"/>
                <w:sz w:val="24"/>
              </w:rPr>
            </w:pPr>
          </w:p>
        </w:tc>
        <w:tc>
          <w:tcPr>
            <w:tcW w:w="2061" w:type="dxa"/>
            <w:vAlign w:val="center"/>
          </w:tcPr>
          <w:p w14:paraId="73CB365F">
            <w:pPr>
              <w:spacing w:line="360" w:lineRule="auto"/>
              <w:jc w:val="center"/>
              <w:rPr>
                <w:rFonts w:ascii="宋体" w:hAnsi="宋体" w:cs="宋体"/>
                <w:kern w:val="0"/>
                <w:sz w:val="24"/>
              </w:rPr>
            </w:pPr>
            <w:r>
              <w:rPr>
                <w:rFonts w:hint="eastAsia" w:ascii="宋体" w:hAnsi="宋体" w:cs="宋体"/>
                <w:sz w:val="24"/>
              </w:rPr>
              <w:t>每月向上级无线电管理部门报送监测月报、干扰查处月报</w:t>
            </w:r>
          </w:p>
        </w:tc>
        <w:tc>
          <w:tcPr>
            <w:tcW w:w="1987" w:type="dxa"/>
            <w:vAlign w:val="center"/>
          </w:tcPr>
          <w:p w14:paraId="2B48701B">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14:paraId="4DF1AD30">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14:paraId="24D4E8FF">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451C6C47">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6891F076">
            <w:pPr>
              <w:spacing w:line="360" w:lineRule="auto"/>
              <w:rPr>
                <w:rFonts w:ascii="宋体" w:hAnsi="宋体" w:cs="宋体"/>
                <w:kern w:val="0"/>
                <w:sz w:val="22"/>
              </w:rPr>
            </w:pPr>
          </w:p>
        </w:tc>
      </w:tr>
      <w:tr w14:paraId="171C6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0573AD9">
            <w:pPr>
              <w:spacing w:line="360" w:lineRule="auto"/>
              <w:jc w:val="center"/>
              <w:rPr>
                <w:rFonts w:ascii="宋体" w:hAnsi="宋体" w:cs="宋体"/>
                <w:kern w:val="0"/>
                <w:sz w:val="24"/>
              </w:rPr>
            </w:pPr>
          </w:p>
        </w:tc>
        <w:tc>
          <w:tcPr>
            <w:tcW w:w="2051" w:type="dxa"/>
            <w:vMerge w:val="continue"/>
            <w:vAlign w:val="center"/>
          </w:tcPr>
          <w:p w14:paraId="7357E6EA">
            <w:pPr>
              <w:spacing w:line="360" w:lineRule="auto"/>
              <w:jc w:val="center"/>
              <w:rPr>
                <w:rFonts w:ascii="宋体" w:hAnsi="宋体" w:cs="宋体"/>
                <w:kern w:val="0"/>
                <w:sz w:val="24"/>
              </w:rPr>
            </w:pPr>
          </w:p>
        </w:tc>
        <w:tc>
          <w:tcPr>
            <w:tcW w:w="2061" w:type="dxa"/>
            <w:vAlign w:val="center"/>
          </w:tcPr>
          <w:p w14:paraId="6C77C94E">
            <w:pPr>
              <w:spacing w:line="360" w:lineRule="auto"/>
              <w:jc w:val="center"/>
              <w:rPr>
                <w:rFonts w:ascii="宋体" w:hAnsi="宋体" w:cs="宋体"/>
                <w:kern w:val="0"/>
                <w:sz w:val="24"/>
              </w:rPr>
            </w:pPr>
            <w:r>
              <w:rPr>
                <w:rFonts w:hint="eastAsia" w:ascii="宋体" w:hAnsi="宋体" w:cs="宋体"/>
                <w:sz w:val="24"/>
              </w:rPr>
              <w:t>国家和省级组织的重要考试按照上级无线电管理机构要求组织开展保障工作</w:t>
            </w:r>
          </w:p>
        </w:tc>
        <w:tc>
          <w:tcPr>
            <w:tcW w:w="1987" w:type="dxa"/>
            <w:vAlign w:val="center"/>
          </w:tcPr>
          <w:p w14:paraId="3E71034D">
            <w:pPr>
              <w:spacing w:line="360" w:lineRule="auto"/>
              <w:jc w:val="center"/>
              <w:rPr>
                <w:rFonts w:ascii="宋体" w:hAnsi="宋体" w:cs="宋体"/>
                <w:kern w:val="0"/>
                <w:sz w:val="24"/>
              </w:rPr>
            </w:pPr>
            <w:r>
              <w:rPr>
                <w:rFonts w:hint="eastAsia" w:ascii="宋体" w:hAnsi="宋体" w:cs="宋体"/>
                <w:sz w:val="24"/>
              </w:rPr>
              <w:t>完成</w:t>
            </w:r>
          </w:p>
        </w:tc>
        <w:tc>
          <w:tcPr>
            <w:tcW w:w="1799" w:type="dxa"/>
            <w:vAlign w:val="center"/>
          </w:tcPr>
          <w:p w14:paraId="359F2911">
            <w:pPr>
              <w:spacing w:line="360" w:lineRule="auto"/>
              <w:jc w:val="center"/>
              <w:rPr>
                <w:rFonts w:ascii="宋体" w:hAnsi="宋体" w:cs="宋体"/>
                <w:kern w:val="0"/>
                <w:sz w:val="24"/>
              </w:rPr>
            </w:pPr>
            <w:r>
              <w:rPr>
                <w:rFonts w:hint="eastAsia" w:ascii="宋体" w:hAnsi="宋体" w:cs="宋体"/>
                <w:sz w:val="24"/>
              </w:rPr>
              <w:t>完成</w:t>
            </w:r>
          </w:p>
        </w:tc>
        <w:tc>
          <w:tcPr>
            <w:tcW w:w="1866" w:type="dxa"/>
            <w:vAlign w:val="center"/>
          </w:tcPr>
          <w:p w14:paraId="07EF5841">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4EBE54B1">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017A37C3">
            <w:pPr>
              <w:spacing w:line="360" w:lineRule="auto"/>
              <w:rPr>
                <w:rFonts w:ascii="宋体" w:hAnsi="宋体" w:cs="宋体"/>
                <w:kern w:val="0"/>
                <w:sz w:val="22"/>
              </w:rPr>
            </w:pPr>
          </w:p>
        </w:tc>
      </w:tr>
      <w:tr w14:paraId="11A9E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B7F2503">
            <w:pPr>
              <w:spacing w:line="360" w:lineRule="auto"/>
              <w:jc w:val="center"/>
              <w:rPr>
                <w:rFonts w:ascii="宋体" w:hAnsi="宋体" w:cs="宋体"/>
                <w:kern w:val="0"/>
                <w:sz w:val="24"/>
              </w:rPr>
            </w:pPr>
          </w:p>
        </w:tc>
        <w:tc>
          <w:tcPr>
            <w:tcW w:w="2051" w:type="dxa"/>
            <w:vMerge w:val="continue"/>
            <w:vAlign w:val="center"/>
          </w:tcPr>
          <w:p w14:paraId="644D137A">
            <w:pPr>
              <w:spacing w:line="360" w:lineRule="auto"/>
              <w:jc w:val="center"/>
              <w:rPr>
                <w:rFonts w:ascii="宋体" w:hAnsi="宋体" w:cs="宋体"/>
                <w:kern w:val="0"/>
                <w:sz w:val="24"/>
              </w:rPr>
            </w:pPr>
          </w:p>
        </w:tc>
        <w:tc>
          <w:tcPr>
            <w:tcW w:w="2061" w:type="dxa"/>
            <w:vAlign w:val="center"/>
          </w:tcPr>
          <w:p w14:paraId="44B2CF11">
            <w:pPr>
              <w:spacing w:line="360" w:lineRule="auto"/>
              <w:jc w:val="center"/>
              <w:rPr>
                <w:rFonts w:ascii="宋体" w:hAnsi="宋体" w:cs="宋体"/>
                <w:kern w:val="0"/>
                <w:sz w:val="24"/>
              </w:rPr>
            </w:pPr>
            <w:r>
              <w:rPr>
                <w:rFonts w:hint="eastAsia" w:ascii="宋体" w:hAnsi="宋体" w:cs="宋体"/>
                <w:sz w:val="24"/>
              </w:rPr>
              <w:t>一类、二类、三类、四类固定监测站平均每月每站监测时长</w:t>
            </w:r>
          </w:p>
        </w:tc>
        <w:tc>
          <w:tcPr>
            <w:tcW w:w="1987" w:type="dxa"/>
            <w:vAlign w:val="center"/>
          </w:tcPr>
          <w:p w14:paraId="199FA699">
            <w:pPr>
              <w:spacing w:line="360" w:lineRule="auto"/>
              <w:jc w:val="center"/>
              <w:rPr>
                <w:rFonts w:ascii="宋体" w:hAnsi="宋体" w:cs="宋体"/>
                <w:kern w:val="0"/>
                <w:sz w:val="24"/>
              </w:rPr>
            </w:pPr>
            <w:r>
              <w:rPr>
                <w:rFonts w:hint="eastAsia" w:ascii="宋体" w:hAnsi="宋体" w:cs="宋体"/>
                <w:sz w:val="24"/>
              </w:rPr>
              <w:t>&gt;=88小时</w:t>
            </w:r>
          </w:p>
        </w:tc>
        <w:tc>
          <w:tcPr>
            <w:tcW w:w="1799" w:type="dxa"/>
            <w:vAlign w:val="center"/>
          </w:tcPr>
          <w:p w14:paraId="06B035DA">
            <w:pPr>
              <w:spacing w:line="360" w:lineRule="auto"/>
              <w:jc w:val="center"/>
              <w:rPr>
                <w:rFonts w:ascii="宋体" w:hAnsi="宋体" w:cs="宋体"/>
                <w:kern w:val="0"/>
                <w:sz w:val="24"/>
              </w:rPr>
            </w:pPr>
            <w:r>
              <w:rPr>
                <w:rFonts w:hint="eastAsia" w:ascii="宋体" w:hAnsi="宋体" w:cs="宋体"/>
                <w:sz w:val="24"/>
              </w:rPr>
              <w:t>100小时</w:t>
            </w:r>
          </w:p>
        </w:tc>
        <w:tc>
          <w:tcPr>
            <w:tcW w:w="1866" w:type="dxa"/>
            <w:vAlign w:val="center"/>
          </w:tcPr>
          <w:p w14:paraId="3E4E07E0">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66C55639">
            <w:pPr>
              <w:spacing w:line="360" w:lineRule="auto"/>
              <w:jc w:val="center"/>
              <w:rPr>
                <w:rFonts w:ascii="宋体" w:hAnsi="宋体" w:cs="宋体"/>
                <w:kern w:val="0"/>
                <w:sz w:val="24"/>
              </w:rPr>
            </w:pPr>
            <w:r>
              <w:rPr>
                <w:rFonts w:hint="eastAsia" w:ascii="宋体" w:hAnsi="宋体" w:cs="宋体"/>
                <w:sz w:val="24"/>
              </w:rPr>
              <w:t>13.64%</w:t>
            </w:r>
          </w:p>
        </w:tc>
        <w:tc>
          <w:tcPr>
            <w:tcW w:w="1071" w:type="dxa"/>
          </w:tcPr>
          <w:p w14:paraId="78345C27">
            <w:pPr>
              <w:spacing w:line="360" w:lineRule="auto"/>
              <w:rPr>
                <w:rFonts w:ascii="宋体" w:hAnsi="宋体" w:cs="宋体"/>
                <w:kern w:val="0"/>
                <w:sz w:val="22"/>
              </w:rPr>
            </w:pPr>
            <w:r>
              <w:rPr>
                <w:rFonts w:hint="eastAsia" w:ascii="宋体" w:hAnsi="宋体" w:cs="宋体"/>
                <w:sz w:val="24"/>
              </w:rPr>
              <w:t>年度监测任务较多，因此完成的监测时间大于估算时间，原指标是是按照省无线电管理年度工作综合评价细则（2025年）制定的</w:t>
            </w:r>
          </w:p>
        </w:tc>
      </w:tr>
      <w:tr w14:paraId="73A7B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FC6F5E6">
            <w:pPr>
              <w:spacing w:line="360" w:lineRule="auto"/>
              <w:jc w:val="center"/>
              <w:rPr>
                <w:rFonts w:ascii="宋体" w:hAnsi="宋体" w:cs="宋体"/>
                <w:kern w:val="0"/>
                <w:sz w:val="24"/>
              </w:rPr>
            </w:pPr>
          </w:p>
        </w:tc>
        <w:tc>
          <w:tcPr>
            <w:tcW w:w="2051" w:type="dxa"/>
            <w:vMerge w:val="continue"/>
            <w:vAlign w:val="center"/>
          </w:tcPr>
          <w:p w14:paraId="7F8EB6E5">
            <w:pPr>
              <w:spacing w:line="360" w:lineRule="auto"/>
              <w:jc w:val="center"/>
              <w:rPr>
                <w:rFonts w:ascii="宋体" w:hAnsi="宋体" w:cs="宋体"/>
                <w:kern w:val="0"/>
                <w:sz w:val="24"/>
              </w:rPr>
            </w:pPr>
          </w:p>
        </w:tc>
        <w:tc>
          <w:tcPr>
            <w:tcW w:w="2061" w:type="dxa"/>
            <w:vAlign w:val="center"/>
          </w:tcPr>
          <w:p w14:paraId="05F709AA">
            <w:pPr>
              <w:spacing w:line="360" w:lineRule="auto"/>
              <w:jc w:val="center"/>
              <w:rPr>
                <w:rFonts w:ascii="宋体" w:hAnsi="宋体" w:cs="宋体"/>
                <w:kern w:val="0"/>
                <w:sz w:val="24"/>
              </w:rPr>
            </w:pPr>
            <w:r>
              <w:rPr>
                <w:rFonts w:hint="eastAsia" w:ascii="宋体" w:hAnsi="宋体" w:cs="宋体"/>
                <w:sz w:val="24"/>
              </w:rPr>
              <w:t>配合行政部门完成上级无线电管理部门下达的在用无线电台（站）监督检查任务的技术指标检查（监督检查数/任务下达数）</w:t>
            </w:r>
          </w:p>
        </w:tc>
        <w:tc>
          <w:tcPr>
            <w:tcW w:w="1987" w:type="dxa"/>
            <w:vAlign w:val="center"/>
          </w:tcPr>
          <w:p w14:paraId="1A3D5B46">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3D97774F">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02A73E20">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42C0F8F6">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03041B6F">
            <w:pPr>
              <w:spacing w:line="360" w:lineRule="auto"/>
              <w:rPr>
                <w:rFonts w:ascii="宋体" w:hAnsi="宋体" w:cs="宋体"/>
                <w:kern w:val="0"/>
                <w:sz w:val="22"/>
              </w:rPr>
            </w:pPr>
          </w:p>
        </w:tc>
      </w:tr>
      <w:tr w14:paraId="60D21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148A452">
            <w:pPr>
              <w:spacing w:line="360" w:lineRule="auto"/>
              <w:jc w:val="center"/>
              <w:rPr>
                <w:rFonts w:ascii="宋体" w:hAnsi="宋体" w:cs="宋体"/>
                <w:kern w:val="0"/>
                <w:sz w:val="24"/>
              </w:rPr>
            </w:pPr>
          </w:p>
        </w:tc>
        <w:tc>
          <w:tcPr>
            <w:tcW w:w="2051" w:type="dxa"/>
            <w:vMerge w:val="continue"/>
            <w:vAlign w:val="center"/>
          </w:tcPr>
          <w:p w14:paraId="79BAE1DF">
            <w:pPr>
              <w:spacing w:line="360" w:lineRule="auto"/>
              <w:jc w:val="center"/>
              <w:rPr>
                <w:rFonts w:ascii="宋体" w:hAnsi="宋体" w:cs="宋体"/>
                <w:kern w:val="0"/>
                <w:sz w:val="24"/>
              </w:rPr>
            </w:pPr>
          </w:p>
        </w:tc>
        <w:tc>
          <w:tcPr>
            <w:tcW w:w="2061" w:type="dxa"/>
            <w:vAlign w:val="center"/>
          </w:tcPr>
          <w:p w14:paraId="0DA2B507">
            <w:pPr>
              <w:spacing w:line="360" w:lineRule="auto"/>
              <w:jc w:val="center"/>
              <w:rPr>
                <w:rFonts w:ascii="宋体" w:hAnsi="宋体" w:cs="宋体"/>
                <w:kern w:val="0"/>
                <w:sz w:val="24"/>
              </w:rPr>
            </w:pPr>
            <w:r>
              <w:rPr>
                <w:rFonts w:hint="eastAsia" w:ascii="宋体" w:hAnsi="宋体" w:cs="宋体"/>
                <w:sz w:val="24"/>
              </w:rPr>
              <w:t>配合行政部门完成无线电发射设备“双随机一公开”设备抽检任务（监督检查数/任务下达数）</w:t>
            </w:r>
          </w:p>
        </w:tc>
        <w:tc>
          <w:tcPr>
            <w:tcW w:w="1987" w:type="dxa"/>
            <w:vAlign w:val="center"/>
          </w:tcPr>
          <w:p w14:paraId="41AE2398">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63410A16">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75375BD0">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55FBCF35">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0D93E852">
            <w:pPr>
              <w:spacing w:line="360" w:lineRule="auto"/>
              <w:rPr>
                <w:rFonts w:ascii="宋体" w:hAnsi="宋体" w:cs="宋体"/>
                <w:kern w:val="0"/>
                <w:sz w:val="22"/>
              </w:rPr>
            </w:pPr>
          </w:p>
        </w:tc>
      </w:tr>
      <w:tr w14:paraId="212F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27E6E69">
            <w:pPr>
              <w:spacing w:line="360" w:lineRule="auto"/>
              <w:jc w:val="center"/>
              <w:rPr>
                <w:rFonts w:ascii="宋体" w:hAnsi="宋体" w:cs="宋体"/>
                <w:kern w:val="0"/>
                <w:sz w:val="24"/>
              </w:rPr>
            </w:pPr>
          </w:p>
        </w:tc>
        <w:tc>
          <w:tcPr>
            <w:tcW w:w="2051" w:type="dxa"/>
            <w:vMerge w:val="continue"/>
            <w:vAlign w:val="center"/>
          </w:tcPr>
          <w:p w14:paraId="1712C978">
            <w:pPr>
              <w:spacing w:line="360" w:lineRule="auto"/>
              <w:jc w:val="center"/>
              <w:rPr>
                <w:rFonts w:ascii="宋体" w:hAnsi="宋体" w:cs="宋体"/>
                <w:kern w:val="0"/>
                <w:sz w:val="24"/>
              </w:rPr>
            </w:pPr>
          </w:p>
        </w:tc>
        <w:tc>
          <w:tcPr>
            <w:tcW w:w="2061" w:type="dxa"/>
            <w:vAlign w:val="center"/>
          </w:tcPr>
          <w:p w14:paraId="3BC524AB">
            <w:pPr>
              <w:spacing w:line="360" w:lineRule="auto"/>
              <w:jc w:val="center"/>
              <w:rPr>
                <w:rFonts w:ascii="宋体" w:hAnsi="宋体" w:cs="宋体"/>
                <w:kern w:val="0"/>
                <w:sz w:val="24"/>
              </w:rPr>
            </w:pPr>
            <w:r>
              <w:rPr>
                <w:rFonts w:hint="eastAsia" w:ascii="宋体" w:hAnsi="宋体" w:cs="宋体"/>
                <w:sz w:val="24"/>
              </w:rPr>
              <w:t>配合行政部门完成上级无线电管理部门下达的无线电频率使用监督检查任务的技术指标检查（监督检查数/任务下达数）</w:t>
            </w:r>
          </w:p>
        </w:tc>
        <w:tc>
          <w:tcPr>
            <w:tcW w:w="1987" w:type="dxa"/>
            <w:vAlign w:val="center"/>
          </w:tcPr>
          <w:p w14:paraId="341A9022">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3D27A14A">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6F6AE18D">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605AAFB5">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2B590024">
            <w:pPr>
              <w:spacing w:line="360" w:lineRule="auto"/>
              <w:rPr>
                <w:rFonts w:ascii="宋体" w:hAnsi="宋体" w:cs="宋体"/>
                <w:kern w:val="0"/>
                <w:sz w:val="22"/>
              </w:rPr>
            </w:pPr>
          </w:p>
        </w:tc>
      </w:tr>
      <w:tr w14:paraId="062B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0E60F25">
            <w:pPr>
              <w:spacing w:line="360" w:lineRule="auto"/>
              <w:jc w:val="center"/>
              <w:rPr>
                <w:rFonts w:ascii="宋体" w:hAnsi="宋体" w:cs="宋体"/>
                <w:kern w:val="0"/>
                <w:sz w:val="24"/>
              </w:rPr>
            </w:pPr>
          </w:p>
        </w:tc>
        <w:tc>
          <w:tcPr>
            <w:tcW w:w="2051" w:type="dxa"/>
            <w:vMerge w:val="continue"/>
            <w:vAlign w:val="center"/>
          </w:tcPr>
          <w:p w14:paraId="2D142648">
            <w:pPr>
              <w:spacing w:line="360" w:lineRule="auto"/>
              <w:jc w:val="center"/>
              <w:rPr>
                <w:rFonts w:ascii="宋体" w:hAnsi="宋体" w:cs="宋体"/>
                <w:kern w:val="0"/>
                <w:sz w:val="24"/>
              </w:rPr>
            </w:pPr>
          </w:p>
        </w:tc>
        <w:tc>
          <w:tcPr>
            <w:tcW w:w="2061" w:type="dxa"/>
            <w:vAlign w:val="center"/>
          </w:tcPr>
          <w:p w14:paraId="238896A3">
            <w:pPr>
              <w:spacing w:line="360" w:lineRule="auto"/>
              <w:jc w:val="center"/>
              <w:rPr>
                <w:rFonts w:ascii="宋体" w:hAnsi="宋体" w:cs="宋体"/>
                <w:kern w:val="0"/>
                <w:sz w:val="24"/>
              </w:rPr>
            </w:pPr>
            <w:r>
              <w:rPr>
                <w:rFonts w:hint="eastAsia" w:ascii="宋体" w:hAnsi="宋体" w:cs="宋体"/>
                <w:sz w:val="24"/>
              </w:rPr>
              <w:t>干扰查处率（已查处干扰数量/全年受理干扰投诉数量）</w:t>
            </w:r>
          </w:p>
        </w:tc>
        <w:tc>
          <w:tcPr>
            <w:tcW w:w="1987" w:type="dxa"/>
            <w:vAlign w:val="center"/>
          </w:tcPr>
          <w:p w14:paraId="34C33B9E">
            <w:pPr>
              <w:spacing w:line="360" w:lineRule="auto"/>
              <w:jc w:val="center"/>
              <w:rPr>
                <w:rFonts w:ascii="宋体" w:hAnsi="宋体" w:cs="宋体"/>
                <w:kern w:val="0"/>
                <w:sz w:val="24"/>
              </w:rPr>
            </w:pPr>
            <w:r>
              <w:rPr>
                <w:rFonts w:hint="eastAsia" w:ascii="宋体" w:hAnsi="宋体" w:cs="宋体"/>
                <w:sz w:val="24"/>
              </w:rPr>
              <w:t>&gt;=80%</w:t>
            </w:r>
          </w:p>
        </w:tc>
        <w:tc>
          <w:tcPr>
            <w:tcW w:w="1799" w:type="dxa"/>
            <w:vAlign w:val="center"/>
          </w:tcPr>
          <w:p w14:paraId="40C3D4AA">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111DA1C2">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180B919C">
            <w:pPr>
              <w:spacing w:line="360" w:lineRule="auto"/>
              <w:jc w:val="center"/>
              <w:rPr>
                <w:rFonts w:ascii="宋体" w:hAnsi="宋体" w:cs="宋体"/>
                <w:kern w:val="0"/>
                <w:sz w:val="24"/>
              </w:rPr>
            </w:pPr>
            <w:r>
              <w:rPr>
                <w:rFonts w:hint="eastAsia" w:ascii="宋体" w:hAnsi="宋体" w:cs="宋体"/>
                <w:sz w:val="24"/>
              </w:rPr>
              <w:t>25.00%</w:t>
            </w:r>
          </w:p>
        </w:tc>
        <w:tc>
          <w:tcPr>
            <w:tcW w:w="1071" w:type="dxa"/>
          </w:tcPr>
          <w:p w14:paraId="631C925B">
            <w:pPr>
              <w:spacing w:line="360" w:lineRule="auto"/>
              <w:rPr>
                <w:rFonts w:ascii="宋体" w:hAnsi="宋体" w:cs="宋体"/>
                <w:kern w:val="0"/>
                <w:sz w:val="22"/>
              </w:rPr>
            </w:pPr>
            <w:r>
              <w:rPr>
                <w:rFonts w:hint="eastAsia" w:ascii="宋体" w:hAnsi="宋体" w:cs="宋体"/>
                <w:sz w:val="24"/>
              </w:rPr>
              <w:t>全年干扰均顺利查处，未出现无无法定位查找的干扰。</w:t>
            </w:r>
          </w:p>
        </w:tc>
      </w:tr>
      <w:tr w14:paraId="3BF3B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9A78DEA">
            <w:pPr>
              <w:spacing w:line="360" w:lineRule="auto"/>
              <w:jc w:val="center"/>
              <w:rPr>
                <w:rFonts w:ascii="宋体" w:hAnsi="宋体" w:cs="宋体"/>
                <w:kern w:val="0"/>
                <w:sz w:val="24"/>
              </w:rPr>
            </w:pPr>
          </w:p>
        </w:tc>
        <w:tc>
          <w:tcPr>
            <w:tcW w:w="2051" w:type="dxa"/>
            <w:vMerge w:val="continue"/>
            <w:vAlign w:val="center"/>
          </w:tcPr>
          <w:p w14:paraId="2BFBCE76">
            <w:pPr>
              <w:spacing w:line="360" w:lineRule="auto"/>
              <w:jc w:val="center"/>
              <w:rPr>
                <w:rFonts w:ascii="宋体" w:hAnsi="宋体" w:cs="宋体"/>
                <w:kern w:val="0"/>
                <w:sz w:val="24"/>
              </w:rPr>
            </w:pPr>
          </w:p>
        </w:tc>
        <w:tc>
          <w:tcPr>
            <w:tcW w:w="2061" w:type="dxa"/>
            <w:vAlign w:val="center"/>
          </w:tcPr>
          <w:p w14:paraId="2DEE16F5">
            <w:pPr>
              <w:spacing w:line="360" w:lineRule="auto"/>
              <w:jc w:val="center"/>
              <w:rPr>
                <w:rFonts w:ascii="宋体" w:hAnsi="宋体" w:cs="宋体"/>
                <w:kern w:val="0"/>
                <w:sz w:val="24"/>
              </w:rPr>
            </w:pPr>
            <w:r>
              <w:rPr>
                <w:rFonts w:hint="eastAsia" w:ascii="宋体" w:hAnsi="宋体" w:cs="宋体"/>
                <w:sz w:val="24"/>
              </w:rPr>
              <w:t>配合行政部门完成无线电发射设备销售企业销售备案工作的监督检查任务的的技术指标检查（监督检查数/任务下达数）</w:t>
            </w:r>
          </w:p>
        </w:tc>
        <w:tc>
          <w:tcPr>
            <w:tcW w:w="1987" w:type="dxa"/>
            <w:vAlign w:val="center"/>
          </w:tcPr>
          <w:p w14:paraId="36387CAB">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306F24B5">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2B5FE4C9">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0D911C04">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0B58DAD0">
            <w:pPr>
              <w:spacing w:line="360" w:lineRule="auto"/>
              <w:rPr>
                <w:rFonts w:ascii="宋体" w:hAnsi="宋体" w:cs="宋体"/>
                <w:kern w:val="0"/>
                <w:sz w:val="22"/>
              </w:rPr>
            </w:pPr>
          </w:p>
        </w:tc>
      </w:tr>
      <w:tr w14:paraId="0FFEB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26A4CFC">
            <w:pPr>
              <w:spacing w:line="360" w:lineRule="auto"/>
              <w:jc w:val="center"/>
              <w:rPr>
                <w:rFonts w:ascii="宋体" w:hAnsi="宋体" w:cs="宋体"/>
                <w:kern w:val="0"/>
                <w:sz w:val="24"/>
              </w:rPr>
            </w:pPr>
          </w:p>
        </w:tc>
        <w:tc>
          <w:tcPr>
            <w:tcW w:w="2051" w:type="dxa"/>
            <w:vMerge w:val="continue"/>
            <w:vAlign w:val="center"/>
          </w:tcPr>
          <w:p w14:paraId="00ED43CF">
            <w:pPr>
              <w:spacing w:line="360" w:lineRule="auto"/>
              <w:jc w:val="center"/>
              <w:rPr>
                <w:rFonts w:ascii="宋体" w:hAnsi="宋体" w:cs="宋体"/>
                <w:kern w:val="0"/>
                <w:sz w:val="24"/>
              </w:rPr>
            </w:pPr>
          </w:p>
        </w:tc>
        <w:tc>
          <w:tcPr>
            <w:tcW w:w="2061" w:type="dxa"/>
            <w:vAlign w:val="center"/>
          </w:tcPr>
          <w:p w14:paraId="7FFFB6C8">
            <w:pPr>
              <w:spacing w:line="360" w:lineRule="auto"/>
              <w:jc w:val="center"/>
              <w:rPr>
                <w:rFonts w:ascii="宋体" w:hAnsi="宋体" w:cs="宋体"/>
                <w:kern w:val="0"/>
                <w:sz w:val="24"/>
              </w:rPr>
            </w:pPr>
            <w:r>
              <w:rPr>
                <w:rFonts w:hint="eastAsia" w:ascii="宋体" w:hAnsi="宋体" w:cs="宋体"/>
                <w:sz w:val="24"/>
              </w:rPr>
              <w:t>开展元旦、春运、“两会”等重要时期，航空、水上、铁路等重点业务和重要设施安全保障工作</w:t>
            </w:r>
          </w:p>
        </w:tc>
        <w:tc>
          <w:tcPr>
            <w:tcW w:w="1987" w:type="dxa"/>
            <w:vAlign w:val="center"/>
          </w:tcPr>
          <w:p w14:paraId="467B5CBC">
            <w:pPr>
              <w:spacing w:line="360" w:lineRule="auto"/>
              <w:jc w:val="center"/>
              <w:rPr>
                <w:rFonts w:ascii="宋体" w:hAnsi="宋体" w:cs="宋体"/>
                <w:kern w:val="0"/>
                <w:sz w:val="24"/>
              </w:rPr>
            </w:pPr>
            <w:r>
              <w:rPr>
                <w:rFonts w:hint="eastAsia" w:ascii="宋体" w:hAnsi="宋体" w:cs="宋体"/>
                <w:sz w:val="24"/>
              </w:rPr>
              <w:t>完成</w:t>
            </w:r>
          </w:p>
        </w:tc>
        <w:tc>
          <w:tcPr>
            <w:tcW w:w="1799" w:type="dxa"/>
            <w:vAlign w:val="center"/>
          </w:tcPr>
          <w:p w14:paraId="3D262D4D">
            <w:pPr>
              <w:spacing w:line="360" w:lineRule="auto"/>
              <w:jc w:val="center"/>
              <w:rPr>
                <w:rFonts w:ascii="宋体" w:hAnsi="宋体" w:cs="宋体"/>
                <w:kern w:val="0"/>
                <w:sz w:val="24"/>
              </w:rPr>
            </w:pPr>
            <w:r>
              <w:rPr>
                <w:rFonts w:hint="eastAsia" w:ascii="宋体" w:hAnsi="宋体" w:cs="宋体"/>
                <w:sz w:val="24"/>
              </w:rPr>
              <w:t>完成</w:t>
            </w:r>
          </w:p>
        </w:tc>
        <w:tc>
          <w:tcPr>
            <w:tcW w:w="1866" w:type="dxa"/>
            <w:vAlign w:val="center"/>
          </w:tcPr>
          <w:p w14:paraId="219F7DD1">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4789883D">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D6B141C">
            <w:pPr>
              <w:spacing w:line="360" w:lineRule="auto"/>
              <w:rPr>
                <w:rFonts w:ascii="宋体" w:hAnsi="宋体" w:cs="宋体"/>
                <w:kern w:val="0"/>
                <w:sz w:val="22"/>
              </w:rPr>
            </w:pPr>
          </w:p>
        </w:tc>
      </w:tr>
      <w:tr w14:paraId="20691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909522C">
            <w:pPr>
              <w:spacing w:line="360" w:lineRule="auto"/>
              <w:jc w:val="center"/>
              <w:rPr>
                <w:rFonts w:ascii="宋体" w:hAnsi="宋体" w:cs="宋体"/>
                <w:kern w:val="0"/>
                <w:sz w:val="24"/>
              </w:rPr>
            </w:pPr>
          </w:p>
        </w:tc>
        <w:tc>
          <w:tcPr>
            <w:tcW w:w="2051" w:type="dxa"/>
            <w:vMerge w:val="continue"/>
            <w:vAlign w:val="center"/>
          </w:tcPr>
          <w:p w14:paraId="1C7BFA48">
            <w:pPr>
              <w:spacing w:line="360" w:lineRule="auto"/>
              <w:jc w:val="center"/>
              <w:rPr>
                <w:rFonts w:ascii="宋体" w:hAnsi="宋体" w:cs="宋体"/>
                <w:kern w:val="0"/>
                <w:sz w:val="24"/>
              </w:rPr>
            </w:pPr>
          </w:p>
        </w:tc>
        <w:tc>
          <w:tcPr>
            <w:tcW w:w="2061" w:type="dxa"/>
            <w:vAlign w:val="center"/>
          </w:tcPr>
          <w:p w14:paraId="27E9D75D">
            <w:pPr>
              <w:spacing w:line="360" w:lineRule="auto"/>
              <w:jc w:val="center"/>
              <w:rPr>
                <w:rFonts w:ascii="宋体" w:hAnsi="宋体" w:cs="宋体"/>
                <w:kern w:val="0"/>
                <w:sz w:val="24"/>
              </w:rPr>
            </w:pPr>
            <w:r>
              <w:rPr>
                <w:rFonts w:hint="eastAsia" w:ascii="宋体" w:hAnsi="宋体" w:cs="宋体"/>
                <w:sz w:val="24"/>
              </w:rPr>
              <w:t>查实数量</w:t>
            </w:r>
          </w:p>
        </w:tc>
        <w:tc>
          <w:tcPr>
            <w:tcW w:w="1987" w:type="dxa"/>
            <w:vAlign w:val="center"/>
          </w:tcPr>
          <w:p w14:paraId="1BB3488A">
            <w:pPr>
              <w:spacing w:line="360" w:lineRule="auto"/>
              <w:jc w:val="center"/>
              <w:rPr>
                <w:rFonts w:ascii="宋体" w:hAnsi="宋体" w:cs="宋体"/>
                <w:kern w:val="0"/>
                <w:sz w:val="24"/>
              </w:rPr>
            </w:pPr>
            <w:r>
              <w:rPr>
                <w:rFonts w:hint="eastAsia" w:ascii="宋体" w:hAnsi="宋体" w:cs="宋体"/>
                <w:sz w:val="24"/>
              </w:rPr>
              <w:t>&gt;=12个</w:t>
            </w:r>
          </w:p>
        </w:tc>
        <w:tc>
          <w:tcPr>
            <w:tcW w:w="1799" w:type="dxa"/>
            <w:vAlign w:val="center"/>
          </w:tcPr>
          <w:p w14:paraId="566B6F12">
            <w:pPr>
              <w:spacing w:line="360" w:lineRule="auto"/>
              <w:jc w:val="center"/>
              <w:rPr>
                <w:rFonts w:ascii="宋体" w:hAnsi="宋体" w:cs="宋体"/>
                <w:kern w:val="0"/>
                <w:sz w:val="24"/>
              </w:rPr>
            </w:pPr>
            <w:r>
              <w:rPr>
                <w:rFonts w:hint="eastAsia" w:ascii="宋体" w:hAnsi="宋体" w:cs="宋体"/>
                <w:sz w:val="24"/>
              </w:rPr>
              <w:t>25个</w:t>
            </w:r>
          </w:p>
        </w:tc>
        <w:tc>
          <w:tcPr>
            <w:tcW w:w="1866" w:type="dxa"/>
            <w:vAlign w:val="center"/>
          </w:tcPr>
          <w:p w14:paraId="2058D505">
            <w:pPr>
              <w:spacing w:line="360" w:lineRule="auto"/>
              <w:jc w:val="center"/>
              <w:rPr>
                <w:rFonts w:ascii="宋体" w:hAnsi="宋体" w:cs="宋体"/>
                <w:kern w:val="0"/>
                <w:sz w:val="24"/>
              </w:rPr>
            </w:pPr>
            <w:r>
              <w:rPr>
                <w:rFonts w:hint="eastAsia" w:ascii="宋体" w:hAnsi="宋体" w:cs="宋体"/>
                <w:sz w:val="24"/>
              </w:rPr>
              <w:t>省无线电管理年度工作综合评价（2025年）</w:t>
            </w:r>
            <w:r>
              <w:rPr>
                <w:rFonts w:hint="eastAsia" w:ascii="宋体" w:hAnsi="宋体" w:cs="宋体"/>
                <w:sz w:val="24"/>
              </w:rPr>
              <w:tab/>
            </w:r>
          </w:p>
        </w:tc>
        <w:tc>
          <w:tcPr>
            <w:tcW w:w="1787" w:type="dxa"/>
            <w:vAlign w:val="center"/>
          </w:tcPr>
          <w:p w14:paraId="0F29A656">
            <w:pPr>
              <w:spacing w:line="360" w:lineRule="auto"/>
              <w:jc w:val="center"/>
              <w:rPr>
                <w:rFonts w:ascii="宋体" w:hAnsi="宋体" w:cs="宋体"/>
                <w:kern w:val="0"/>
                <w:sz w:val="24"/>
              </w:rPr>
            </w:pPr>
            <w:r>
              <w:rPr>
                <w:rFonts w:hint="eastAsia" w:ascii="宋体" w:hAnsi="宋体" w:cs="宋体"/>
                <w:sz w:val="24"/>
              </w:rPr>
              <w:t>108.33%</w:t>
            </w:r>
          </w:p>
        </w:tc>
        <w:tc>
          <w:tcPr>
            <w:tcW w:w="1071" w:type="dxa"/>
          </w:tcPr>
          <w:p w14:paraId="393C5A33">
            <w:pPr>
              <w:spacing w:line="360" w:lineRule="auto"/>
              <w:rPr>
                <w:rFonts w:ascii="宋体" w:hAnsi="宋体" w:cs="宋体"/>
                <w:kern w:val="0"/>
                <w:sz w:val="22"/>
              </w:rPr>
            </w:pPr>
            <w:r>
              <w:rPr>
                <w:rFonts w:hint="eastAsia" w:ascii="宋体" w:hAnsi="宋体" w:cs="宋体"/>
                <w:sz w:val="24"/>
              </w:rPr>
              <w:t>干扰投诉量较多，因此比计划多排查了13个干扰。</w:t>
            </w:r>
          </w:p>
        </w:tc>
      </w:tr>
      <w:tr w14:paraId="4F4B6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8F7EB1C">
            <w:pPr>
              <w:spacing w:line="360" w:lineRule="auto"/>
              <w:jc w:val="center"/>
              <w:rPr>
                <w:rFonts w:ascii="宋体" w:hAnsi="宋体" w:cs="宋体"/>
                <w:kern w:val="0"/>
                <w:sz w:val="24"/>
              </w:rPr>
            </w:pPr>
          </w:p>
        </w:tc>
        <w:tc>
          <w:tcPr>
            <w:tcW w:w="2051" w:type="dxa"/>
            <w:vMerge w:val="continue"/>
            <w:vAlign w:val="center"/>
          </w:tcPr>
          <w:p w14:paraId="4845444A">
            <w:pPr>
              <w:spacing w:line="360" w:lineRule="auto"/>
              <w:jc w:val="center"/>
              <w:rPr>
                <w:rFonts w:ascii="宋体" w:hAnsi="宋体" w:cs="宋体"/>
                <w:kern w:val="0"/>
                <w:sz w:val="24"/>
              </w:rPr>
            </w:pPr>
          </w:p>
        </w:tc>
        <w:tc>
          <w:tcPr>
            <w:tcW w:w="2061" w:type="dxa"/>
            <w:vAlign w:val="center"/>
          </w:tcPr>
          <w:p w14:paraId="1465E3B1">
            <w:pPr>
              <w:spacing w:line="360" w:lineRule="auto"/>
              <w:jc w:val="center"/>
              <w:rPr>
                <w:rFonts w:ascii="宋体" w:hAnsi="宋体" w:cs="宋体"/>
                <w:kern w:val="0"/>
                <w:sz w:val="24"/>
              </w:rPr>
            </w:pPr>
            <w:r>
              <w:rPr>
                <w:rFonts w:hint="eastAsia" w:ascii="宋体" w:hAnsi="宋体" w:cs="宋体"/>
                <w:sz w:val="24"/>
              </w:rPr>
              <w:t>在频率许可前对拟许可的频率进行事前监测</w:t>
            </w:r>
          </w:p>
        </w:tc>
        <w:tc>
          <w:tcPr>
            <w:tcW w:w="1987" w:type="dxa"/>
            <w:vAlign w:val="center"/>
          </w:tcPr>
          <w:p w14:paraId="1AFAC22E">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1A4EDE67">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744D34F2">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1708B2BC">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7134B7D3">
            <w:pPr>
              <w:spacing w:line="360" w:lineRule="auto"/>
              <w:rPr>
                <w:rFonts w:ascii="宋体" w:hAnsi="宋体" w:cs="宋体"/>
                <w:kern w:val="0"/>
                <w:sz w:val="22"/>
              </w:rPr>
            </w:pPr>
          </w:p>
        </w:tc>
      </w:tr>
      <w:tr w14:paraId="1809A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9EBE449">
            <w:pPr>
              <w:spacing w:line="360" w:lineRule="auto"/>
              <w:jc w:val="center"/>
              <w:rPr>
                <w:rFonts w:ascii="宋体" w:hAnsi="宋体" w:cs="宋体"/>
                <w:kern w:val="0"/>
                <w:sz w:val="24"/>
              </w:rPr>
            </w:pPr>
          </w:p>
        </w:tc>
        <w:tc>
          <w:tcPr>
            <w:tcW w:w="2051" w:type="dxa"/>
            <w:vMerge w:val="continue"/>
            <w:vAlign w:val="center"/>
          </w:tcPr>
          <w:p w14:paraId="0C965EC5">
            <w:pPr>
              <w:spacing w:line="360" w:lineRule="auto"/>
              <w:jc w:val="center"/>
              <w:rPr>
                <w:rFonts w:ascii="宋体" w:hAnsi="宋体" w:cs="宋体"/>
                <w:kern w:val="0"/>
                <w:sz w:val="24"/>
              </w:rPr>
            </w:pPr>
          </w:p>
        </w:tc>
        <w:tc>
          <w:tcPr>
            <w:tcW w:w="2061" w:type="dxa"/>
            <w:vAlign w:val="center"/>
          </w:tcPr>
          <w:p w14:paraId="2611D55B">
            <w:pPr>
              <w:spacing w:line="360" w:lineRule="auto"/>
              <w:jc w:val="center"/>
              <w:rPr>
                <w:rFonts w:ascii="宋体" w:hAnsi="宋体" w:cs="宋体"/>
                <w:kern w:val="0"/>
                <w:sz w:val="24"/>
              </w:rPr>
            </w:pPr>
            <w:r>
              <w:rPr>
                <w:rFonts w:hint="eastAsia" w:ascii="宋体" w:hAnsi="宋体" w:cs="宋体"/>
                <w:sz w:val="24"/>
              </w:rPr>
              <w:t>设区市辖区内各县（市）每年移动监测时长</w:t>
            </w:r>
          </w:p>
        </w:tc>
        <w:tc>
          <w:tcPr>
            <w:tcW w:w="1987" w:type="dxa"/>
            <w:vAlign w:val="center"/>
          </w:tcPr>
          <w:p w14:paraId="74717E27">
            <w:pPr>
              <w:spacing w:line="360" w:lineRule="auto"/>
              <w:jc w:val="center"/>
              <w:rPr>
                <w:rFonts w:ascii="宋体" w:hAnsi="宋体" w:cs="宋体"/>
                <w:kern w:val="0"/>
                <w:sz w:val="24"/>
              </w:rPr>
            </w:pPr>
            <w:r>
              <w:rPr>
                <w:rFonts w:hint="eastAsia" w:ascii="宋体" w:hAnsi="宋体" w:cs="宋体"/>
                <w:sz w:val="24"/>
              </w:rPr>
              <w:t>&gt;=4小时</w:t>
            </w:r>
          </w:p>
        </w:tc>
        <w:tc>
          <w:tcPr>
            <w:tcW w:w="1799" w:type="dxa"/>
            <w:vAlign w:val="center"/>
          </w:tcPr>
          <w:p w14:paraId="2EDA14C9">
            <w:pPr>
              <w:spacing w:line="360" w:lineRule="auto"/>
              <w:jc w:val="center"/>
              <w:rPr>
                <w:rFonts w:ascii="宋体" w:hAnsi="宋体" w:cs="宋体"/>
                <w:kern w:val="0"/>
                <w:sz w:val="24"/>
              </w:rPr>
            </w:pPr>
            <w:r>
              <w:rPr>
                <w:rFonts w:hint="eastAsia" w:ascii="宋体" w:hAnsi="宋体" w:cs="宋体"/>
                <w:sz w:val="24"/>
              </w:rPr>
              <w:t>5小时</w:t>
            </w:r>
          </w:p>
        </w:tc>
        <w:tc>
          <w:tcPr>
            <w:tcW w:w="1866" w:type="dxa"/>
            <w:vAlign w:val="center"/>
          </w:tcPr>
          <w:p w14:paraId="650A8CB7">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22073103">
            <w:pPr>
              <w:spacing w:line="360" w:lineRule="auto"/>
              <w:jc w:val="center"/>
              <w:rPr>
                <w:rFonts w:ascii="宋体" w:hAnsi="宋体" w:cs="宋体"/>
                <w:kern w:val="0"/>
                <w:sz w:val="24"/>
              </w:rPr>
            </w:pPr>
            <w:r>
              <w:rPr>
                <w:rFonts w:hint="eastAsia" w:ascii="宋体" w:hAnsi="宋体" w:cs="宋体"/>
                <w:sz w:val="24"/>
              </w:rPr>
              <w:t>25.00%</w:t>
            </w:r>
          </w:p>
        </w:tc>
        <w:tc>
          <w:tcPr>
            <w:tcW w:w="1071" w:type="dxa"/>
          </w:tcPr>
          <w:p w14:paraId="42225E5D">
            <w:pPr>
              <w:spacing w:line="360" w:lineRule="auto"/>
              <w:rPr>
                <w:rFonts w:ascii="宋体" w:hAnsi="宋体" w:cs="宋体"/>
                <w:kern w:val="0"/>
                <w:sz w:val="22"/>
              </w:rPr>
            </w:pPr>
            <w:r>
              <w:rPr>
                <w:rFonts w:hint="eastAsia" w:ascii="宋体" w:hAnsi="宋体" w:cs="宋体"/>
                <w:sz w:val="24"/>
              </w:rPr>
              <w:t>年度监测任务较多，因此完成的监测时间大于估算时间，原指标是是按照省无线电管理年度工作综合评价细则（2025年）制定的</w:t>
            </w:r>
          </w:p>
        </w:tc>
      </w:tr>
    </w:tbl>
    <w:p w14:paraId="7B5F5F05">
      <w:pPr>
        <w:spacing w:line="360" w:lineRule="auto"/>
        <w:ind w:left="600"/>
        <w:rPr>
          <w:rFonts w:ascii="黑体" w:hAnsi="黑体" w:eastAsia="黑体"/>
          <w:sz w:val="30"/>
        </w:rPr>
      </w:pPr>
    </w:p>
    <w:sectPr>
      <w:headerReference r:id="rId7" w:type="default"/>
      <w:footerReference r:id="rId8" w:type="default"/>
      <w:pgSz w:w="16840" w:h="11907" w:orient="landscape"/>
      <w:pgMar w:top="1559" w:right="1247" w:bottom="1400" w:left="1089" w:header="851" w:footer="992" w:gutter="0"/>
      <w:paperSrc w:first="15" w:other="1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2381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0C328767">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7DEFE">
    <w:pPr>
      <w:pStyle w:val="3"/>
      <w:framePr w:wrap="around" w:vAnchor="text" w:hAnchor="margin" w:xAlign="center" w:y="1"/>
      <w:rPr>
        <w:rStyle w:val="8"/>
      </w:rPr>
    </w:pPr>
    <w:r>
      <w:fldChar w:fldCharType="begin"/>
    </w:r>
    <w:r>
      <w:rPr>
        <w:rStyle w:val="8"/>
      </w:rPr>
      <w:instrText xml:space="preserve">PAGE  </w:instrText>
    </w:r>
    <w:r>
      <w:fldChar w:fldCharType="end"/>
    </w:r>
  </w:p>
  <w:p w14:paraId="094E44E9">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66061">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2</w:t>
    </w:r>
    <w:r>
      <w:fldChar w:fldCharType="end"/>
    </w:r>
  </w:p>
  <w:p w14:paraId="52662FC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375BC">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57BC6">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2CE92">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7BB9F1"/>
    <w:multiLevelType w:val="singleLevel"/>
    <w:tmpl w:val="5D7BB9F1"/>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7BD0E51"/>
    <w:rsid w:val="08DB7764"/>
    <w:rsid w:val="0C9A6ED5"/>
    <w:rsid w:val="100603AC"/>
    <w:rsid w:val="10F1631B"/>
    <w:rsid w:val="12A93FD5"/>
    <w:rsid w:val="130C2FEE"/>
    <w:rsid w:val="13CE1647"/>
    <w:rsid w:val="17B84A32"/>
    <w:rsid w:val="19B01875"/>
    <w:rsid w:val="1A1C1CFA"/>
    <w:rsid w:val="1AD4001C"/>
    <w:rsid w:val="1C3E1334"/>
    <w:rsid w:val="1CFD4AD4"/>
    <w:rsid w:val="1D070020"/>
    <w:rsid w:val="1EB274DF"/>
    <w:rsid w:val="20106F8E"/>
    <w:rsid w:val="20680833"/>
    <w:rsid w:val="22B36787"/>
    <w:rsid w:val="231125AC"/>
    <w:rsid w:val="24077BFF"/>
    <w:rsid w:val="26A5092E"/>
    <w:rsid w:val="28260401"/>
    <w:rsid w:val="2B110340"/>
    <w:rsid w:val="2CF51D47"/>
    <w:rsid w:val="2F640DE8"/>
    <w:rsid w:val="31190CC6"/>
    <w:rsid w:val="33FD7752"/>
    <w:rsid w:val="37922635"/>
    <w:rsid w:val="379540A7"/>
    <w:rsid w:val="3989156E"/>
    <w:rsid w:val="3A15477F"/>
    <w:rsid w:val="3A242466"/>
    <w:rsid w:val="3C47334E"/>
    <w:rsid w:val="3CB26D1E"/>
    <w:rsid w:val="3EF07F7A"/>
    <w:rsid w:val="43ED3C40"/>
    <w:rsid w:val="495323ED"/>
    <w:rsid w:val="4AF3601A"/>
    <w:rsid w:val="4BA315C9"/>
    <w:rsid w:val="4CC6446A"/>
    <w:rsid w:val="4E7B4170"/>
    <w:rsid w:val="544D740E"/>
    <w:rsid w:val="55AE0FCF"/>
    <w:rsid w:val="58FE18D5"/>
    <w:rsid w:val="594914BB"/>
    <w:rsid w:val="5CA82CD1"/>
    <w:rsid w:val="5FCE09A6"/>
    <w:rsid w:val="60ED5F11"/>
    <w:rsid w:val="64122457"/>
    <w:rsid w:val="646426D5"/>
    <w:rsid w:val="64BC4F31"/>
    <w:rsid w:val="64C3416F"/>
    <w:rsid w:val="6624577F"/>
    <w:rsid w:val="67161F83"/>
    <w:rsid w:val="68817BAC"/>
    <w:rsid w:val="68DB6F84"/>
    <w:rsid w:val="6A1706CF"/>
    <w:rsid w:val="6A563FBC"/>
    <w:rsid w:val="6A7E3167"/>
    <w:rsid w:val="6D873407"/>
    <w:rsid w:val="6DA24319"/>
    <w:rsid w:val="6EA81B75"/>
    <w:rsid w:val="6FE35A27"/>
    <w:rsid w:val="72167982"/>
    <w:rsid w:val="739B783A"/>
    <w:rsid w:val="75536D10"/>
    <w:rsid w:val="75B30C82"/>
    <w:rsid w:val="76B57CE1"/>
    <w:rsid w:val="770E7892"/>
    <w:rsid w:val="77980A6E"/>
    <w:rsid w:val="77F71564"/>
    <w:rsid w:val="792A54A4"/>
    <w:rsid w:val="79F15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styleId="9">
    <w:name w:val="Hyperlink"/>
    <w:qFormat/>
    <w:uiPriority w:val="0"/>
    <w:rPr>
      <w:color w:val="0000FF"/>
      <w:u w:val="single"/>
    </w:rPr>
  </w:style>
  <w:style w:type="character" w:customStyle="1" w:styleId="10">
    <w:name w:val="已访问的超链接1"/>
    <w:qFormat/>
    <w:uiPriority w:val="0"/>
    <w:rPr>
      <w:color w:val="800080"/>
      <w:u w:val="single"/>
    </w:rPr>
  </w:style>
  <w:style w:type="character" w:customStyle="1" w:styleId="11">
    <w:name w:val="页眉 Char"/>
    <w:link w:val="4"/>
    <w:qFormat/>
    <w:uiPriority w:val="0"/>
    <w:rPr>
      <w:kern w:val="2"/>
      <w:sz w:val="18"/>
      <w:szCs w:val="18"/>
    </w:rPr>
  </w:style>
  <w:style w:type="character" w:customStyle="1" w:styleId="12">
    <w:name w:val="页脚 Char"/>
    <w:link w:val="3"/>
    <w:qFormat/>
    <w:uiPriority w:val="0"/>
    <w:rPr>
      <w:kern w:val="2"/>
      <w:sz w:val="18"/>
      <w:szCs w:val="18"/>
    </w:rPr>
  </w:style>
  <w:style w:type="paragraph" w:customStyle="1" w:styleId="13">
    <w:name w:val="目录 21"/>
    <w:basedOn w:val="1"/>
    <w:next w:val="1"/>
    <w:qFormat/>
    <w:uiPriority w:val="39"/>
    <w:pPr>
      <w:tabs>
        <w:tab w:val="right" w:leader="dot" w:pos="8494"/>
      </w:tabs>
      <w:spacing w:line="560" w:lineRule="exact"/>
      <w:ind w:left="210"/>
      <w:jc w:val="left"/>
    </w:pPr>
    <w:rPr>
      <w:rFonts w:ascii="仿宋_GB2312" w:hAnsi="Calibri" w:eastAsia="仿宋_GB2312" w:cs="Calibri"/>
      <w:smallCaps/>
      <w:sz w:val="28"/>
      <w:szCs w:val="28"/>
    </w:rPr>
  </w:style>
  <w:style w:type="paragraph" w:customStyle="1" w:styleId="14">
    <w:name w:val="目录 11"/>
    <w:basedOn w:val="1"/>
    <w:next w:val="1"/>
    <w:qFormat/>
    <w:uiPriority w:val="39"/>
    <w:pPr>
      <w:tabs>
        <w:tab w:val="left" w:pos="840"/>
        <w:tab w:val="right" w:leader="dot" w:pos="8296"/>
      </w:tabs>
      <w:spacing w:line="560" w:lineRule="exact"/>
      <w:jc w:val="left"/>
    </w:pPr>
    <w:rPr>
      <w:rFonts w:ascii="仿宋_GB2312" w:hAnsi="新宋体" w:eastAsia="仿宋_GB2312" w:cs="Calibri"/>
      <w:b/>
      <w:bCs/>
      <w:caps/>
      <w:sz w:val="28"/>
      <w:szCs w:val="28"/>
    </w:rPr>
  </w:style>
  <w:style w:type="paragraph" w:customStyle="1" w:styleId="15">
    <w:name w:val="Char Char Char Char Char Char Char"/>
    <w:basedOn w:val="1"/>
    <w:qFormat/>
    <w:uiPriority w:val="0"/>
    <w:rPr>
      <w:szCs w:val="21"/>
    </w:rPr>
  </w:style>
  <w:style w:type="paragraph" w:customStyle="1" w:styleId="16">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czj</Company>
  <Pages>18</Pages>
  <Words>3832</Words>
  <Characters>4527</Characters>
  <Lines>6</Lines>
  <Paragraphs>1</Paragraphs>
  <TotalTime>5</TotalTime>
  <ScaleCrop>false</ScaleCrop>
  <LinksUpToDate>false</LinksUpToDate>
  <CharactersWithSpaces>4560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2020-12-31T06:58:00Z</dcterms:created>
  <dc:creator>傅海英</dc:creator>
  <cp:lastModifiedBy>企业用户_248082468</cp:lastModifiedBy>
  <cp:lastPrinted>2019-06-21T02:10:00Z</cp:lastPrinted>
  <dcterms:modified xsi:type="dcterms:W3CDTF">2026-10-09T01:15:31Z</dcterms:modified>
  <dc:title>关于进行本市部门整体支出</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739EEDB2ECE141DEAF0C3D87D58590AD_13</vt:lpwstr>
  </property>
  <property fmtid="{D5CDD505-2E9C-101B-9397-08002B2CF9AE}" pid="4" name="KSOTemplateDocerSaveRecord">
    <vt:lpwstr>eyJoZGlkIjoiYjI0NDJmMmQ3YmQ5N2U2MjM2ZmQyODc5MjI3NTRiMzkiLCJ1c2VySWQiOiIxNzA5NDQ5MjA3In0=</vt:lpwstr>
  </property>
</Properties>
</file>