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专项业务用水用电用气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苏州市无线电管理监测站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2.5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2.5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2.5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2.5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专项业务用水用电用气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保障无线电技术设施数量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&gt;=5套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5套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经费支出合规性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严格执行相关财经、制度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按时完成采购计划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有效保障工作正常开展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本项目为专项业务用水用电用气保障资金，主要用于苏州市无线电管理监测站办公楼、两个固定监测站、监测机房、仪器设备室及仓库等核心设施的日常基础运转支出。项目的设立旨在为全市无线电监测及日常办公提供连续、稳定的动能支撑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保障无线电技术设施正常供电。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保障无线电技术设施正常供电。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严格执行年度预算计划，按期足额完成办公楼及各技术设施场所的水电气费用缴纳。资金支付率达标，审批流程规范，实现专款专用。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全天候保障了本单位核心设施及监测机房的稳定运行。全年未发生因能源中断导致的业务停滞或设备损坏，为全市无线电监测和重大活动保障提供了坚实物理支撑。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受极端天气及突发性监测任务影响，机房温控和大型设备的阶段性用电负荷波动较大，客观上难以做到年初预算的绝对精准预测。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结合历史能耗数据与业务规律，进一步细化测算方式，提升预算编制的科学性。落实日常节能降耗要求，在保障业务运行的前提下优化机房设备运行模式，提高资金使用效益。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