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A88" w:rsidRDefault="009F7A88">
      <w:pPr>
        <w:snapToGrid w:val="0"/>
        <w:spacing w:line="560" w:lineRule="exact"/>
        <w:rPr>
          <w:rFonts w:eastAsia="仿宋_GB2312"/>
          <w:sz w:val="30"/>
        </w:rPr>
      </w:pPr>
    </w:p>
    <w:p w:rsidR="009F7A88" w:rsidRDefault="008C6FC6">
      <w:pPr>
        <w:snapToGrid w:val="0"/>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苏州市市级预算部门（单位）整体支出预算</w:t>
      </w:r>
    </w:p>
    <w:p w:rsidR="009F7A88" w:rsidRDefault="008C6FC6">
      <w:pPr>
        <w:snapToGrid w:val="0"/>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绩效自评报告（2025年度）</w:t>
      </w:r>
    </w:p>
    <w:p w:rsidR="009F7A88" w:rsidRDefault="009F7A88">
      <w:pPr>
        <w:snapToGrid w:val="0"/>
        <w:spacing w:line="560" w:lineRule="exact"/>
        <w:jc w:val="center"/>
        <w:rPr>
          <w:rFonts w:eastAsia="仿宋_GB2312"/>
          <w:sz w:val="30"/>
        </w:rPr>
      </w:pPr>
    </w:p>
    <w:p w:rsidR="009F7A88" w:rsidRDefault="008C6FC6">
      <w:pPr>
        <w:snapToGrid w:val="0"/>
        <w:spacing w:line="560" w:lineRule="exact"/>
        <w:ind w:firstLineChars="200" w:firstLine="640"/>
        <w:rPr>
          <w:rFonts w:eastAsia="仿宋_GB2312"/>
          <w:sz w:val="32"/>
          <w:szCs w:val="32"/>
        </w:rPr>
      </w:pPr>
      <w:r>
        <w:rPr>
          <w:rFonts w:ascii="黑体" w:eastAsia="黑体" w:hAnsi="黑体" w:cs="黑体" w:hint="eastAsia"/>
          <w:sz w:val="32"/>
          <w:szCs w:val="32"/>
        </w:rPr>
        <w:t>一、预算部门名称：</w:t>
      </w:r>
      <w:r>
        <w:rPr>
          <w:rFonts w:eastAsia="仿宋_GB2312"/>
          <w:sz w:val="32"/>
          <w:szCs w:val="32"/>
        </w:rPr>
        <w:t>苏州市节能监察中心（苏州市新型材料发展中心）</w:t>
      </w:r>
    </w:p>
    <w:p w:rsidR="009F7A88" w:rsidRDefault="008C6FC6">
      <w:pPr>
        <w:snapToGrid w:val="0"/>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二、年度履职目标完成情况</w:t>
      </w:r>
    </w:p>
    <w:p w:rsidR="009F7A88" w:rsidRDefault="008C6FC6">
      <w:pPr>
        <w:snapToGrid w:val="0"/>
        <w:spacing w:line="560" w:lineRule="exact"/>
        <w:ind w:firstLineChars="200" w:firstLine="643"/>
        <w:rPr>
          <w:rFonts w:eastAsia="仿宋_GB2312"/>
          <w:sz w:val="32"/>
          <w:szCs w:val="32"/>
        </w:rPr>
      </w:pPr>
      <w:r>
        <w:rPr>
          <w:rFonts w:eastAsia="仿宋_GB2312"/>
          <w:b/>
          <w:bCs/>
          <w:sz w:val="32"/>
          <w:szCs w:val="32"/>
        </w:rPr>
        <w:t>一是</w:t>
      </w:r>
      <w:r>
        <w:rPr>
          <w:rFonts w:eastAsia="仿宋_GB2312"/>
          <w:sz w:val="32"/>
          <w:szCs w:val="32"/>
        </w:rPr>
        <w:t>高质量完成节能监察任务。围绕钢铁、化工、水泥、热电、数据中心等重点行业、重点企业，对</w:t>
      </w:r>
      <w:r>
        <w:rPr>
          <w:rFonts w:eastAsia="仿宋_GB2312"/>
          <w:sz w:val="32"/>
          <w:szCs w:val="32"/>
        </w:rPr>
        <w:t>311</w:t>
      </w:r>
      <w:r>
        <w:rPr>
          <w:rFonts w:eastAsia="仿宋_GB2312"/>
          <w:sz w:val="32"/>
          <w:szCs w:val="32"/>
        </w:rPr>
        <w:t>家用能单位开展国家、省、市三级节能监察。重点检查单位产品能耗限额标准执行情况、用能设备淘汰制度落实情况，以及固定资产投资项目节能审查制度执行情况。通过省、市、县三级协同联动，强化全过程监管，督促用能单位对标先进、查找差距，持续挖掘节能潜力，推动用能单位能效水平全面提升，助力工业绿色低碳转型发展。</w:t>
      </w:r>
      <w:r>
        <w:rPr>
          <w:rFonts w:eastAsia="仿宋_GB2312"/>
          <w:b/>
          <w:bCs/>
          <w:sz w:val="32"/>
          <w:szCs w:val="32"/>
        </w:rPr>
        <w:t>二是</w:t>
      </w:r>
      <w:r>
        <w:rPr>
          <w:rFonts w:eastAsia="仿宋_GB2312"/>
          <w:sz w:val="32"/>
          <w:szCs w:val="32"/>
        </w:rPr>
        <w:t>高标准开展企业服务。通过</w:t>
      </w:r>
      <w:r>
        <w:rPr>
          <w:rFonts w:ascii="仿宋_GB2312" w:eastAsia="仿宋_GB2312" w:hAnsi="仿宋_GB2312" w:cs="仿宋_GB2312" w:hint="eastAsia"/>
          <w:sz w:val="32"/>
          <w:szCs w:val="32"/>
        </w:rPr>
        <w:t>“</w:t>
      </w:r>
      <w:r>
        <w:rPr>
          <w:rFonts w:eastAsia="仿宋_GB2312"/>
          <w:sz w:val="32"/>
          <w:szCs w:val="32"/>
        </w:rPr>
        <w:t>换位跑一次</w:t>
      </w:r>
      <w:r>
        <w:rPr>
          <w:rFonts w:ascii="仿宋_GB2312" w:eastAsia="仿宋_GB2312" w:hAnsi="仿宋_GB2312" w:cs="仿宋_GB2312" w:hint="eastAsia"/>
          <w:sz w:val="32"/>
          <w:szCs w:val="32"/>
        </w:rPr>
        <w:t>”</w:t>
      </w:r>
      <w:r>
        <w:rPr>
          <w:rFonts w:eastAsia="仿宋_GB2312"/>
          <w:sz w:val="32"/>
          <w:szCs w:val="32"/>
        </w:rPr>
        <w:t>等活动，精准对接，针对固定资产投资项目能效指标核算、设备能效判定等困惑，为企业释疑解惑，帮助企业解决实际困难；持续推进</w:t>
      </w:r>
      <w:r>
        <w:rPr>
          <w:rFonts w:eastAsia="仿宋_GB2312" w:hint="eastAsia"/>
          <w:sz w:val="32"/>
          <w:szCs w:val="32"/>
        </w:rPr>
        <w:t>“</w:t>
      </w:r>
      <w:r>
        <w:rPr>
          <w:rFonts w:eastAsia="仿宋_GB2312"/>
          <w:sz w:val="32"/>
          <w:szCs w:val="32"/>
        </w:rPr>
        <w:t>进一个企业，提一个节能建议</w:t>
      </w:r>
      <w:r>
        <w:rPr>
          <w:rFonts w:eastAsia="仿宋_GB2312" w:hint="eastAsia"/>
          <w:sz w:val="32"/>
          <w:szCs w:val="32"/>
        </w:rPr>
        <w:t>”</w:t>
      </w:r>
      <w:r>
        <w:rPr>
          <w:rFonts w:eastAsia="仿宋_GB2312"/>
          <w:sz w:val="32"/>
          <w:szCs w:val="32"/>
        </w:rPr>
        <w:t>活动，始终坚持需求导向与问题导向相结合，聚焦企业重点用能设备、关键用能工艺及能源管理体系建设，从技术节能、设备节能、工艺节能、管理节能等多维度入手，结合企业实际能源利用状况，推荐适用的节能降碳先进技术与典型应用案例，累计为企业合理提出</w:t>
      </w:r>
      <w:r>
        <w:rPr>
          <w:rFonts w:eastAsia="仿宋_GB2312"/>
          <w:sz w:val="32"/>
          <w:szCs w:val="32"/>
        </w:rPr>
        <w:t>80</w:t>
      </w:r>
      <w:r>
        <w:rPr>
          <w:rFonts w:eastAsia="仿宋_GB2312"/>
          <w:sz w:val="32"/>
          <w:szCs w:val="32"/>
        </w:rPr>
        <w:t>条节能技术改造项目建议，</w:t>
      </w:r>
      <w:r>
        <w:rPr>
          <w:rFonts w:eastAsia="仿宋_GB2312"/>
          <w:sz w:val="32"/>
          <w:szCs w:val="32"/>
        </w:rPr>
        <w:lastRenderedPageBreak/>
        <w:t>预计项目全部顺利实施，每年可节约</w:t>
      </w:r>
      <w:r>
        <w:rPr>
          <w:rFonts w:eastAsia="仿宋_GB2312"/>
          <w:sz w:val="32"/>
          <w:szCs w:val="32"/>
        </w:rPr>
        <w:t>1.1</w:t>
      </w:r>
      <w:r>
        <w:rPr>
          <w:rFonts w:eastAsia="仿宋_GB2312"/>
          <w:sz w:val="32"/>
          <w:szCs w:val="32"/>
        </w:rPr>
        <w:t>万吨标准煤。</w:t>
      </w:r>
      <w:r>
        <w:rPr>
          <w:rFonts w:eastAsia="仿宋_GB2312"/>
          <w:b/>
          <w:bCs/>
          <w:sz w:val="32"/>
          <w:szCs w:val="32"/>
        </w:rPr>
        <w:t>三是</w:t>
      </w:r>
      <w:r>
        <w:rPr>
          <w:rFonts w:eastAsia="仿宋_GB2312"/>
          <w:sz w:val="32"/>
          <w:szCs w:val="32"/>
        </w:rPr>
        <w:t>全力做好协助配合工作。配合省节能监察中心对全市重点用能单位节能管理档案审核、完善省节能监察综合业务平台开发；配合局相关处室开展全市建筑保温材料企业专项摸底调查、举办苏州市绿色建材下乡活动暨产业链供需对接会、开展</w:t>
      </w:r>
      <w:r>
        <w:rPr>
          <w:rFonts w:eastAsia="仿宋_GB2312" w:hint="eastAsia"/>
          <w:sz w:val="32"/>
          <w:szCs w:val="32"/>
        </w:rPr>
        <w:t>“</w:t>
      </w:r>
      <w:r>
        <w:rPr>
          <w:rFonts w:eastAsia="仿宋_GB2312"/>
          <w:sz w:val="32"/>
          <w:szCs w:val="32"/>
        </w:rPr>
        <w:t>两个免于提交</w:t>
      </w:r>
      <w:r>
        <w:rPr>
          <w:rFonts w:eastAsia="仿宋_GB2312" w:hint="eastAsia"/>
          <w:sz w:val="32"/>
          <w:szCs w:val="32"/>
        </w:rPr>
        <w:t>”</w:t>
      </w:r>
      <w:r>
        <w:rPr>
          <w:rFonts w:eastAsia="仿宋_GB2312"/>
          <w:sz w:val="32"/>
          <w:szCs w:val="32"/>
        </w:rPr>
        <w:t>、</w:t>
      </w:r>
      <w:r>
        <w:rPr>
          <w:rFonts w:eastAsia="仿宋_GB2312" w:hint="eastAsia"/>
          <w:sz w:val="32"/>
          <w:szCs w:val="32"/>
        </w:rPr>
        <w:t>“</w:t>
      </w:r>
      <w:r>
        <w:rPr>
          <w:rFonts w:eastAsia="仿宋_GB2312"/>
          <w:sz w:val="32"/>
          <w:szCs w:val="32"/>
        </w:rPr>
        <w:t>一网通办</w:t>
      </w:r>
      <w:r>
        <w:rPr>
          <w:rFonts w:eastAsia="仿宋_GB2312" w:hint="eastAsia"/>
          <w:sz w:val="32"/>
          <w:szCs w:val="32"/>
        </w:rPr>
        <w:t>”</w:t>
      </w:r>
      <w:r>
        <w:rPr>
          <w:rFonts w:eastAsia="仿宋_GB2312"/>
          <w:sz w:val="32"/>
          <w:szCs w:val="32"/>
        </w:rPr>
        <w:t>、</w:t>
      </w:r>
      <w:r>
        <w:rPr>
          <w:rFonts w:eastAsia="仿宋_GB2312" w:hint="eastAsia"/>
          <w:sz w:val="32"/>
          <w:szCs w:val="32"/>
        </w:rPr>
        <w:t>“</w:t>
      </w:r>
      <w:r>
        <w:rPr>
          <w:rFonts w:eastAsia="仿宋_GB2312"/>
          <w:sz w:val="32"/>
          <w:szCs w:val="32"/>
        </w:rPr>
        <w:t>不见面审批</w:t>
      </w:r>
      <w:r>
        <w:rPr>
          <w:rFonts w:eastAsia="仿宋_GB2312" w:hint="eastAsia"/>
          <w:sz w:val="32"/>
          <w:szCs w:val="32"/>
        </w:rPr>
        <w:t>”</w:t>
      </w:r>
      <w:r>
        <w:rPr>
          <w:rFonts w:eastAsia="仿宋_GB2312"/>
          <w:sz w:val="32"/>
          <w:szCs w:val="32"/>
        </w:rPr>
        <w:t>等政务服务、做好对固定资产投资项目节能评估审查后的行政检查；配合市住建局对预拌混凝土生产企业开展全市预拌混凝土生产动态核查、扬尘污染防治专项督查以及混凝土产品质量联合检查；配合市数据局做好</w:t>
      </w:r>
      <w:r>
        <w:rPr>
          <w:rFonts w:eastAsia="仿宋_GB2312" w:hint="eastAsia"/>
          <w:sz w:val="32"/>
          <w:szCs w:val="32"/>
        </w:rPr>
        <w:t>“</w:t>
      </w:r>
      <w:r>
        <w:rPr>
          <w:rFonts w:eastAsia="仿宋_GB2312"/>
          <w:sz w:val="32"/>
          <w:szCs w:val="32"/>
        </w:rPr>
        <w:t>重点用能单位能源岗位聘用能源管理负责人的备案</w:t>
      </w:r>
      <w:r>
        <w:rPr>
          <w:rFonts w:eastAsia="仿宋_GB2312" w:hint="eastAsia"/>
          <w:sz w:val="32"/>
          <w:szCs w:val="32"/>
        </w:rPr>
        <w:t>”</w:t>
      </w:r>
      <w:r>
        <w:rPr>
          <w:rFonts w:eastAsia="仿宋_GB2312"/>
          <w:sz w:val="32"/>
          <w:szCs w:val="32"/>
        </w:rPr>
        <w:t>材料的审核；配合市发改委对已完成节能验收的</w:t>
      </w:r>
      <w:r>
        <w:rPr>
          <w:rFonts w:eastAsia="仿宋_GB2312"/>
          <w:sz w:val="32"/>
          <w:szCs w:val="32"/>
        </w:rPr>
        <w:t xml:space="preserve"> </w:t>
      </w:r>
      <w:r>
        <w:rPr>
          <w:rFonts w:eastAsia="仿宋_GB2312" w:hint="eastAsia"/>
          <w:sz w:val="32"/>
          <w:szCs w:val="32"/>
        </w:rPr>
        <w:t>“</w:t>
      </w:r>
      <w:r>
        <w:rPr>
          <w:rFonts w:eastAsia="仿宋_GB2312"/>
          <w:sz w:val="32"/>
          <w:szCs w:val="32"/>
        </w:rPr>
        <w:t>两高</w:t>
      </w:r>
      <w:r>
        <w:rPr>
          <w:rFonts w:eastAsia="仿宋_GB2312" w:hint="eastAsia"/>
          <w:sz w:val="32"/>
          <w:szCs w:val="32"/>
        </w:rPr>
        <w:t>”</w:t>
      </w:r>
      <w:r>
        <w:rPr>
          <w:rFonts w:eastAsia="仿宋_GB2312"/>
          <w:sz w:val="32"/>
          <w:szCs w:val="32"/>
        </w:rPr>
        <w:t>项目落实节能审查意见及节能相关标准、规范执行情况进行监督检查；指导县级市节能管理机构完成市下发的</w:t>
      </w:r>
      <w:r>
        <w:rPr>
          <w:rFonts w:eastAsia="仿宋_GB2312" w:hint="eastAsia"/>
          <w:sz w:val="32"/>
          <w:szCs w:val="32"/>
        </w:rPr>
        <w:t>“</w:t>
      </w:r>
      <w:r>
        <w:rPr>
          <w:rFonts w:eastAsia="仿宋_GB2312"/>
          <w:sz w:val="32"/>
          <w:szCs w:val="32"/>
        </w:rPr>
        <w:t>双随机、一公开</w:t>
      </w:r>
      <w:r>
        <w:rPr>
          <w:rFonts w:eastAsia="仿宋_GB2312" w:hint="eastAsia"/>
          <w:sz w:val="32"/>
          <w:szCs w:val="32"/>
        </w:rPr>
        <w:t>”</w:t>
      </w:r>
      <w:r>
        <w:rPr>
          <w:rFonts w:eastAsia="仿宋_GB2312"/>
          <w:sz w:val="32"/>
          <w:szCs w:val="32"/>
        </w:rPr>
        <w:t>节能监察任务。</w:t>
      </w:r>
      <w:r>
        <w:rPr>
          <w:rFonts w:eastAsia="仿宋_GB2312"/>
          <w:b/>
          <w:bCs/>
          <w:sz w:val="32"/>
          <w:szCs w:val="32"/>
        </w:rPr>
        <w:t>四是</w:t>
      </w:r>
      <w:r>
        <w:rPr>
          <w:rFonts w:eastAsia="仿宋_GB2312"/>
          <w:sz w:val="32"/>
          <w:szCs w:val="32"/>
        </w:rPr>
        <w:t>加强法治宣传教育。深化</w:t>
      </w:r>
      <w:r>
        <w:rPr>
          <w:rFonts w:eastAsia="仿宋_GB2312" w:hint="eastAsia"/>
          <w:sz w:val="32"/>
          <w:szCs w:val="32"/>
        </w:rPr>
        <w:t>“</w:t>
      </w:r>
      <w:r>
        <w:rPr>
          <w:rFonts w:eastAsia="仿宋_GB2312"/>
          <w:sz w:val="32"/>
          <w:szCs w:val="32"/>
        </w:rPr>
        <w:t>执法</w:t>
      </w:r>
      <w:r>
        <w:rPr>
          <w:rFonts w:eastAsia="仿宋_GB2312"/>
          <w:sz w:val="32"/>
          <w:szCs w:val="32"/>
        </w:rPr>
        <w:t>+</w:t>
      </w:r>
      <w:r>
        <w:rPr>
          <w:rFonts w:eastAsia="仿宋_GB2312"/>
          <w:sz w:val="32"/>
          <w:szCs w:val="32"/>
        </w:rPr>
        <w:t>普法</w:t>
      </w:r>
      <w:r>
        <w:rPr>
          <w:rFonts w:eastAsia="仿宋_GB2312" w:hint="eastAsia"/>
          <w:sz w:val="32"/>
          <w:szCs w:val="32"/>
        </w:rPr>
        <w:t>”</w:t>
      </w:r>
      <w:r>
        <w:rPr>
          <w:rFonts w:eastAsia="仿宋_GB2312"/>
          <w:sz w:val="32"/>
          <w:szCs w:val="32"/>
        </w:rPr>
        <w:t>服务模式，将普法宣传贯穿于节能监察全过程。系统梳理现行的国家、省节能法律法规、政策文件及标准规范，编制形成《节能法规政策标准汇编（</w:t>
      </w:r>
      <w:r>
        <w:rPr>
          <w:rFonts w:eastAsia="仿宋_GB2312"/>
          <w:sz w:val="32"/>
          <w:szCs w:val="32"/>
        </w:rPr>
        <w:t>2025</w:t>
      </w:r>
      <w:r>
        <w:rPr>
          <w:rFonts w:eastAsia="仿宋_GB2312"/>
          <w:sz w:val="32"/>
          <w:szCs w:val="32"/>
        </w:rPr>
        <w:t>年度）》，结合现场节能监察，通过面对面讲解、答疑解惑等方式，帮助企业准确把握节能政策要求，切实增强企业节能降碳意识。</w:t>
      </w:r>
      <w:r>
        <w:rPr>
          <w:rFonts w:eastAsia="仿宋_GB2312"/>
          <w:b/>
          <w:bCs/>
          <w:sz w:val="32"/>
          <w:szCs w:val="32"/>
        </w:rPr>
        <w:t>五是</w:t>
      </w:r>
      <w:r>
        <w:rPr>
          <w:rFonts w:eastAsia="仿宋_GB2312"/>
          <w:sz w:val="32"/>
          <w:szCs w:val="32"/>
        </w:rPr>
        <w:t>加强队伍能力建设。按照省节能监察中心的统一部署，赴南京、无锡等地开展省专项节能监察，通过异地交叉交流，不断提升节能监察人员实务能力；参加工信部、省节能监察中心组织的节能业务培训和标准宣贯、案例分析等内部培训，持续更新节能</w:t>
      </w:r>
      <w:r>
        <w:rPr>
          <w:rFonts w:eastAsia="仿宋_GB2312"/>
          <w:sz w:val="32"/>
          <w:szCs w:val="32"/>
        </w:rPr>
        <w:lastRenderedPageBreak/>
        <w:t>监察人员知识储备，不断加强节能监察队伍建设。</w:t>
      </w:r>
    </w:p>
    <w:p w:rsidR="009F7A88" w:rsidRDefault="008C6FC6">
      <w:pPr>
        <w:snapToGrid w:val="0"/>
        <w:spacing w:line="560" w:lineRule="exact"/>
        <w:ind w:left="600"/>
        <w:rPr>
          <w:rFonts w:ascii="黑体" w:eastAsia="黑体" w:hAnsi="黑体" w:cs="黑体"/>
          <w:sz w:val="32"/>
          <w:szCs w:val="32"/>
        </w:rPr>
      </w:pPr>
      <w:r>
        <w:rPr>
          <w:rFonts w:ascii="黑体" w:eastAsia="黑体" w:hAnsi="黑体" w:cs="黑体" w:hint="eastAsia"/>
          <w:sz w:val="32"/>
          <w:szCs w:val="32"/>
        </w:rPr>
        <w:t>三、部门（单位）概况</w:t>
      </w:r>
    </w:p>
    <w:p w:rsidR="009F7A88" w:rsidRDefault="008C6FC6">
      <w:pPr>
        <w:snapToGrid w:val="0"/>
        <w:spacing w:line="560" w:lineRule="exact"/>
        <w:ind w:firstLineChars="200" w:firstLine="640"/>
        <w:rPr>
          <w:rFonts w:eastAsia="仿宋_GB2312"/>
          <w:sz w:val="32"/>
          <w:szCs w:val="32"/>
        </w:rPr>
      </w:pPr>
      <w:r>
        <w:rPr>
          <w:rFonts w:eastAsia="仿宋_GB2312"/>
          <w:sz w:val="32"/>
          <w:szCs w:val="32"/>
        </w:rPr>
        <w:t>苏州市节能监察中心位于姑苏区甫桥下塘</w:t>
      </w:r>
      <w:r>
        <w:rPr>
          <w:rFonts w:eastAsia="仿宋_GB2312"/>
          <w:sz w:val="32"/>
          <w:szCs w:val="32"/>
        </w:rPr>
        <w:t>13</w:t>
      </w:r>
      <w:r>
        <w:rPr>
          <w:rFonts w:eastAsia="仿宋_GB2312"/>
          <w:sz w:val="32"/>
          <w:szCs w:val="32"/>
        </w:rPr>
        <w:t>号，无内设机构。编制内实有人数</w:t>
      </w:r>
      <w:r>
        <w:rPr>
          <w:rFonts w:eastAsia="仿宋_GB2312"/>
          <w:sz w:val="32"/>
          <w:szCs w:val="32"/>
        </w:rPr>
        <w:t>17</w:t>
      </w:r>
      <w:r>
        <w:rPr>
          <w:rFonts w:eastAsia="仿宋_GB2312"/>
          <w:sz w:val="32"/>
          <w:szCs w:val="32"/>
        </w:rPr>
        <w:t>名，其他人员</w:t>
      </w:r>
      <w:r>
        <w:rPr>
          <w:rFonts w:eastAsia="仿宋_GB2312"/>
          <w:sz w:val="32"/>
          <w:szCs w:val="32"/>
        </w:rPr>
        <w:t>1</w:t>
      </w:r>
      <w:r>
        <w:rPr>
          <w:rFonts w:eastAsia="仿宋_GB2312"/>
          <w:sz w:val="32"/>
          <w:szCs w:val="32"/>
        </w:rPr>
        <w:t>名，离退休共计</w:t>
      </w:r>
      <w:r>
        <w:rPr>
          <w:rFonts w:eastAsia="仿宋_GB2312"/>
          <w:sz w:val="32"/>
          <w:szCs w:val="32"/>
        </w:rPr>
        <w:t>29</w:t>
      </w:r>
      <w:r>
        <w:rPr>
          <w:rFonts w:eastAsia="仿宋_GB2312"/>
          <w:sz w:val="32"/>
          <w:szCs w:val="32"/>
        </w:rPr>
        <w:t>名。单位的主要职能为贯彻执行节约能源、发展新型墙体材料、散装水泥等法律、法规、规章、政策和标准；承担节能监察工作，负责对墙体材料、散装水泥和预拌砂浆的生产、使用情况进行监督管理，受理有关举报和投诉，承担具体执法辅助工作；负责新型墙体材料技术、散装水泥推广应用，具体承担新型墙体材料产品认定初审工作，对预拌砂浆生产企业备案材料进行审核；指导市、区墙改和散装水泥管理机构、节能监察机构业务工作；协助主管部门做好能源审计、节能量审核、固定资产投资项目节能评审等工作；完成上级主管部门交办的其他事项。</w:t>
      </w:r>
    </w:p>
    <w:p w:rsidR="009F7A88" w:rsidRDefault="008C6FC6">
      <w:pPr>
        <w:snapToGrid w:val="0"/>
        <w:spacing w:line="560" w:lineRule="exact"/>
        <w:ind w:left="600"/>
        <w:rPr>
          <w:rFonts w:ascii="黑体" w:eastAsia="黑体" w:hAnsi="黑体" w:cs="黑体"/>
          <w:sz w:val="32"/>
          <w:szCs w:val="32"/>
        </w:rPr>
      </w:pPr>
      <w:r>
        <w:rPr>
          <w:rFonts w:ascii="黑体" w:eastAsia="黑体" w:hAnsi="黑体" w:cs="黑体" w:hint="eastAsia"/>
          <w:sz w:val="32"/>
          <w:szCs w:val="32"/>
        </w:rPr>
        <w:t>四、部门（单位）整体支出绩效实现情况</w:t>
      </w:r>
    </w:p>
    <w:p w:rsidR="009F7A88" w:rsidRDefault="008C6FC6">
      <w:pPr>
        <w:snapToGrid w:val="0"/>
        <w:spacing w:line="560" w:lineRule="exact"/>
        <w:ind w:firstLineChars="200" w:firstLine="640"/>
        <w:rPr>
          <w:rFonts w:eastAsia="仿宋_GB2312"/>
          <w:sz w:val="32"/>
          <w:szCs w:val="32"/>
        </w:rPr>
      </w:pPr>
      <w:r>
        <w:rPr>
          <w:rFonts w:eastAsia="仿宋_GB2312"/>
          <w:sz w:val="32"/>
          <w:szCs w:val="32"/>
        </w:rPr>
        <w:t>2025</w:t>
      </w:r>
      <w:r>
        <w:rPr>
          <w:rFonts w:eastAsia="仿宋_GB2312"/>
          <w:sz w:val="32"/>
          <w:szCs w:val="32"/>
        </w:rPr>
        <w:t>年，我单位贯彻落实全面预算绩效管理要求，通过加强预算管理，不断健全内部管理制度，持续提升财政资金使用效益。按照相关要求，从决策、过程、效益、满意度、履职等五个维度对整体支出绩效实现情况进行了全面自评，整体支出绩效实现情况主要如下：一是全面完成对涉及钢铁、化工、水泥等重点行业、重点企业开展的国家、省、市三级节能监察任务，助力工业绿色低碳转型发展；二是持续开展</w:t>
      </w:r>
      <w:r>
        <w:rPr>
          <w:rFonts w:eastAsia="仿宋_GB2312" w:hint="eastAsia"/>
          <w:sz w:val="32"/>
          <w:szCs w:val="32"/>
        </w:rPr>
        <w:t>“</w:t>
      </w:r>
      <w:r>
        <w:rPr>
          <w:rFonts w:eastAsia="仿宋_GB2312"/>
          <w:sz w:val="32"/>
          <w:szCs w:val="32"/>
        </w:rPr>
        <w:t>节能服务进企业</w:t>
      </w:r>
      <w:r>
        <w:rPr>
          <w:rFonts w:eastAsia="仿宋_GB2312" w:hint="eastAsia"/>
          <w:sz w:val="32"/>
          <w:szCs w:val="32"/>
        </w:rPr>
        <w:t>”</w:t>
      </w:r>
      <w:r>
        <w:rPr>
          <w:rFonts w:eastAsia="仿宋_GB2312"/>
          <w:sz w:val="32"/>
          <w:szCs w:val="32"/>
        </w:rPr>
        <w:t>活动，帮助企业深挖节能降碳潜力，提高能源利用效率；三是</w:t>
      </w:r>
      <w:bookmarkStart w:id="0" w:name="OLE_LINK4"/>
      <w:bookmarkStart w:id="1" w:name="OLE_LINK3"/>
      <w:r>
        <w:rPr>
          <w:rFonts w:eastAsia="仿宋_GB2312"/>
          <w:sz w:val="32"/>
          <w:szCs w:val="32"/>
        </w:rPr>
        <w:t>多措并举</w:t>
      </w:r>
      <w:r>
        <w:rPr>
          <w:rFonts w:eastAsia="仿宋_GB2312"/>
          <w:sz w:val="32"/>
          <w:szCs w:val="32"/>
        </w:rPr>
        <w:lastRenderedPageBreak/>
        <w:t>加强档案管理，</w:t>
      </w:r>
      <w:bookmarkEnd w:id="0"/>
      <w:r>
        <w:rPr>
          <w:rFonts w:eastAsia="仿宋_GB2312"/>
          <w:sz w:val="32"/>
          <w:szCs w:val="32"/>
        </w:rPr>
        <w:t>不断提升单位档案管理水平</w:t>
      </w:r>
      <w:bookmarkEnd w:id="1"/>
      <w:r>
        <w:rPr>
          <w:rFonts w:eastAsia="仿宋_GB2312"/>
          <w:sz w:val="32"/>
          <w:szCs w:val="32"/>
        </w:rPr>
        <w:t>；四是通过参加形式多样的业务培训，不断加强队伍能力建设；五是</w:t>
      </w:r>
      <w:bookmarkStart w:id="2" w:name="OLE_LINK11"/>
      <w:r>
        <w:rPr>
          <w:rFonts w:eastAsia="仿宋_GB2312"/>
          <w:sz w:val="32"/>
          <w:szCs w:val="32"/>
        </w:rPr>
        <w:t>及时组织在职及离退休职工进行健康体检，</w:t>
      </w:r>
      <w:bookmarkEnd w:id="2"/>
      <w:r>
        <w:rPr>
          <w:rFonts w:eastAsia="仿宋_GB2312"/>
          <w:sz w:val="32"/>
          <w:szCs w:val="32"/>
        </w:rPr>
        <w:t>切实保障职工身体健康。</w:t>
      </w:r>
    </w:p>
    <w:p w:rsidR="009F7A88" w:rsidRDefault="008C6FC6">
      <w:pPr>
        <w:snapToGrid w:val="0"/>
        <w:spacing w:line="560" w:lineRule="exact"/>
        <w:ind w:left="600"/>
        <w:rPr>
          <w:rFonts w:ascii="黑体" w:eastAsia="黑体" w:hAnsi="黑体" w:cs="黑体"/>
          <w:sz w:val="32"/>
          <w:szCs w:val="32"/>
        </w:rPr>
      </w:pPr>
      <w:r>
        <w:rPr>
          <w:rFonts w:ascii="黑体" w:eastAsia="黑体" w:hAnsi="黑体" w:cs="黑体" w:hint="eastAsia"/>
          <w:sz w:val="32"/>
          <w:szCs w:val="32"/>
        </w:rPr>
        <w:t>五、</w:t>
      </w:r>
      <w:bookmarkStart w:id="3" w:name="OLE_LINK12"/>
      <w:r>
        <w:rPr>
          <w:rFonts w:ascii="黑体" w:eastAsia="黑体" w:hAnsi="黑体" w:cs="黑体" w:hint="eastAsia"/>
          <w:sz w:val="32"/>
          <w:szCs w:val="32"/>
        </w:rPr>
        <w:t>部门（单位）整体支出绩效中存在问题及改进措施</w:t>
      </w:r>
    </w:p>
    <w:bookmarkEnd w:id="3"/>
    <w:p w:rsidR="009F7A88" w:rsidRDefault="008C6FC6">
      <w:pPr>
        <w:snapToGrid w:val="0"/>
        <w:spacing w:line="560" w:lineRule="exact"/>
        <w:ind w:firstLineChars="200" w:firstLine="640"/>
        <w:rPr>
          <w:rFonts w:eastAsia="仿宋_GB2312"/>
          <w:sz w:val="32"/>
          <w:szCs w:val="32"/>
        </w:rPr>
      </w:pPr>
      <w:r>
        <w:rPr>
          <w:rFonts w:eastAsia="仿宋_GB2312"/>
          <w:sz w:val="32"/>
          <w:szCs w:val="32"/>
        </w:rPr>
        <w:t>（一）主要问题及原因：</w:t>
      </w:r>
      <w:bookmarkStart w:id="4" w:name="OLE_LINK8"/>
      <w:bookmarkStart w:id="5" w:name="OLE_LINK9"/>
      <w:r>
        <w:rPr>
          <w:rFonts w:eastAsia="仿宋_GB2312"/>
          <w:sz w:val="32"/>
          <w:szCs w:val="32"/>
        </w:rPr>
        <w:t>个别履职类指标实际完成值略大于目标值</w:t>
      </w:r>
      <w:bookmarkEnd w:id="4"/>
      <w:r>
        <w:rPr>
          <w:rFonts w:eastAsia="仿宋_GB2312"/>
          <w:sz w:val="32"/>
          <w:szCs w:val="32"/>
        </w:rPr>
        <w:t>，出现偏差</w:t>
      </w:r>
      <w:bookmarkEnd w:id="5"/>
      <w:r>
        <w:rPr>
          <w:rFonts w:eastAsia="仿宋_GB2312"/>
          <w:sz w:val="32"/>
          <w:szCs w:val="32"/>
        </w:rPr>
        <w:t>。主要原因是目标设定时相对保守，指标设置侧重于历史数据，因此在正常推进下出现了小幅偏差。</w:t>
      </w:r>
    </w:p>
    <w:p w:rsidR="009F7A88" w:rsidRDefault="008C6FC6">
      <w:pPr>
        <w:snapToGrid w:val="0"/>
        <w:spacing w:line="560" w:lineRule="exact"/>
        <w:ind w:firstLineChars="200" w:firstLine="640"/>
        <w:rPr>
          <w:rFonts w:eastAsia="仿宋_GB2312"/>
          <w:sz w:val="32"/>
          <w:szCs w:val="32"/>
        </w:rPr>
      </w:pPr>
      <w:r>
        <w:rPr>
          <w:rFonts w:eastAsia="仿宋_GB2312"/>
          <w:sz w:val="32"/>
          <w:szCs w:val="32"/>
        </w:rPr>
        <w:t>（二）改进的方向和具体措施：深入学习贯彻预算法、预算法实施条例等法律法规，准确把握政策要求，不断加强预算编制管理，紧紧围绕单位工作实际，规范编制绩效目标和绩效指标，进一步提高绩效目标和绩效指标编制的科学性。</w:t>
      </w:r>
    </w:p>
    <w:p w:rsidR="009F7A88" w:rsidRDefault="008C6FC6">
      <w:pPr>
        <w:snapToGrid w:val="0"/>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六、绩效自评结果拟应用和公开情况</w:t>
      </w:r>
    </w:p>
    <w:p w:rsidR="009F7A88" w:rsidRDefault="008C6FC6">
      <w:pPr>
        <w:snapToGrid w:val="0"/>
        <w:spacing w:line="560" w:lineRule="exact"/>
        <w:ind w:firstLineChars="200" w:firstLine="640"/>
        <w:rPr>
          <w:rFonts w:eastAsia="仿宋_GB2312"/>
          <w:sz w:val="32"/>
          <w:szCs w:val="32"/>
        </w:rPr>
      </w:pPr>
      <w:r>
        <w:rPr>
          <w:rFonts w:eastAsia="仿宋_GB2312"/>
          <w:sz w:val="32"/>
          <w:szCs w:val="32"/>
        </w:rPr>
        <w:t>将本次绩效评价结果作为加强资金管理、完善相关制度建设的重要依据。将根据绩效自评结果，进一步总结经验，提高项目资金使用效率。在预决算公开统一平台和部门网站公开绩效自评结果。</w:t>
      </w:r>
    </w:p>
    <w:p w:rsidR="009F7A88" w:rsidRDefault="009F7A88">
      <w:pPr>
        <w:snapToGrid w:val="0"/>
        <w:spacing w:line="560" w:lineRule="exact"/>
        <w:rPr>
          <w:rFonts w:eastAsia="仿宋_GB2312"/>
          <w:sz w:val="32"/>
          <w:szCs w:val="32"/>
        </w:rPr>
        <w:sectPr w:rsidR="009F7A88">
          <w:headerReference w:type="even" r:id="rId8"/>
          <w:headerReference w:type="default" r:id="rId9"/>
          <w:footerReference w:type="even" r:id="rId10"/>
          <w:footerReference w:type="default" r:id="rId11"/>
          <w:pgSz w:w="11907" w:h="16840"/>
          <w:pgMar w:top="2041" w:right="1474" w:bottom="1984" w:left="1587" w:header="851" w:footer="992" w:gutter="0"/>
          <w:paperSrc w:first="15" w:other="15"/>
          <w:cols w:space="720"/>
          <w:docGrid w:type="lines" w:linePitch="312"/>
        </w:sectPr>
      </w:pPr>
    </w:p>
    <w:p w:rsidR="009F7A88" w:rsidRDefault="008C6FC6">
      <w:pPr>
        <w:numPr>
          <w:ilvl w:val="0"/>
          <w:numId w:val="1"/>
        </w:numPr>
        <w:spacing w:line="360" w:lineRule="auto"/>
        <w:ind w:left="600"/>
        <w:rPr>
          <w:rFonts w:ascii="黑体" w:eastAsia="黑体" w:hAnsi="黑体"/>
          <w:sz w:val="32"/>
          <w:szCs w:val="32"/>
        </w:rPr>
      </w:pPr>
      <w:r>
        <w:rPr>
          <w:rFonts w:ascii="黑体" w:eastAsia="黑体" w:hAnsi="黑体" w:hint="eastAsia"/>
          <w:sz w:val="32"/>
          <w:szCs w:val="32"/>
        </w:rPr>
        <w:lastRenderedPageBreak/>
        <w:t>预算信息</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79"/>
        <w:gridCol w:w="2268"/>
        <w:gridCol w:w="2268"/>
        <w:gridCol w:w="2268"/>
        <w:gridCol w:w="2268"/>
        <w:gridCol w:w="2161"/>
      </w:tblGrid>
      <w:tr w:rsidR="009F7A88">
        <w:trPr>
          <w:trHeight w:val="339"/>
          <w:jc w:val="center"/>
        </w:trPr>
        <w:tc>
          <w:tcPr>
            <w:tcW w:w="3079"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kern w:val="0"/>
                <w:sz w:val="24"/>
              </w:rPr>
              <w:t>本年度预算资金（万元）</w:t>
            </w:r>
          </w:p>
        </w:tc>
        <w:tc>
          <w:tcPr>
            <w:tcW w:w="2268"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kern w:val="0"/>
                <w:sz w:val="24"/>
              </w:rPr>
              <w:t>年初预算数（万元）</w:t>
            </w:r>
          </w:p>
        </w:tc>
        <w:tc>
          <w:tcPr>
            <w:tcW w:w="2268"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kern w:val="0"/>
                <w:sz w:val="24"/>
              </w:rPr>
              <w:t>上年度结转及当年预算追加追减数(万元）</w:t>
            </w:r>
          </w:p>
        </w:tc>
        <w:tc>
          <w:tcPr>
            <w:tcW w:w="2268"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kern w:val="0"/>
                <w:sz w:val="24"/>
              </w:rPr>
              <w:t>调整预算数（万元）</w:t>
            </w:r>
          </w:p>
        </w:tc>
        <w:tc>
          <w:tcPr>
            <w:tcW w:w="2268"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kern w:val="0"/>
                <w:sz w:val="24"/>
              </w:rPr>
              <w:t>实际支出数（万元）</w:t>
            </w:r>
          </w:p>
        </w:tc>
        <w:tc>
          <w:tcPr>
            <w:tcW w:w="2161"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kern w:val="0"/>
                <w:sz w:val="24"/>
              </w:rPr>
              <w:t>执行率（%)</w:t>
            </w:r>
          </w:p>
        </w:tc>
      </w:tr>
      <w:tr w:rsidR="009F7A88">
        <w:trPr>
          <w:trHeight w:val="540"/>
          <w:jc w:val="center"/>
        </w:trPr>
        <w:tc>
          <w:tcPr>
            <w:tcW w:w="3079" w:type="dxa"/>
            <w:vAlign w:val="center"/>
          </w:tcPr>
          <w:p w:rsidR="009F7A88" w:rsidRDefault="008C6FC6">
            <w:pPr>
              <w:widowControl/>
              <w:jc w:val="center"/>
              <w:rPr>
                <w:rFonts w:ascii="宋体" w:hAnsi="宋体" w:cs="宋体"/>
                <w:kern w:val="0"/>
                <w:sz w:val="24"/>
              </w:rPr>
            </w:pPr>
            <w:r>
              <w:rPr>
                <w:rFonts w:ascii="宋体" w:hAnsi="宋体" w:cs="宋体" w:hint="eastAsia"/>
                <w:sz w:val="24"/>
              </w:rPr>
              <w:t>预算总金额</w:t>
            </w:r>
          </w:p>
        </w:tc>
        <w:tc>
          <w:tcPr>
            <w:tcW w:w="2268" w:type="dxa"/>
            <w:vAlign w:val="center"/>
          </w:tcPr>
          <w:p w:rsidR="009F7A88" w:rsidRDefault="008C6FC6">
            <w:pPr>
              <w:widowControl/>
              <w:jc w:val="center"/>
              <w:rPr>
                <w:rFonts w:ascii="宋体" w:hAnsi="宋体" w:cs="宋体"/>
                <w:kern w:val="0"/>
                <w:sz w:val="24"/>
              </w:rPr>
            </w:pPr>
            <w:r>
              <w:rPr>
                <w:rFonts w:ascii="宋体" w:hAnsi="宋体" w:cs="宋体" w:hint="eastAsia"/>
                <w:sz w:val="24"/>
              </w:rPr>
              <w:t>898.72</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9.23</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907.95</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907.95</w:t>
            </w:r>
          </w:p>
        </w:tc>
        <w:tc>
          <w:tcPr>
            <w:tcW w:w="2161" w:type="dxa"/>
            <w:vAlign w:val="center"/>
          </w:tcPr>
          <w:p w:rsidR="009F7A88" w:rsidRDefault="008C6FC6">
            <w:pPr>
              <w:widowControl/>
              <w:jc w:val="center"/>
              <w:rPr>
                <w:rFonts w:ascii="宋体" w:hAnsi="宋体" w:cs="宋体"/>
                <w:sz w:val="24"/>
              </w:rPr>
            </w:pPr>
            <w:r>
              <w:rPr>
                <w:rFonts w:ascii="宋体" w:hAnsi="宋体" w:cs="宋体" w:hint="eastAsia"/>
                <w:sz w:val="24"/>
              </w:rPr>
              <w:t>100.00%</w:t>
            </w:r>
          </w:p>
        </w:tc>
      </w:tr>
      <w:tr w:rsidR="009F7A88">
        <w:trPr>
          <w:trHeight w:val="540"/>
          <w:jc w:val="center"/>
        </w:trPr>
        <w:tc>
          <w:tcPr>
            <w:tcW w:w="3079" w:type="dxa"/>
            <w:vAlign w:val="center"/>
          </w:tcPr>
          <w:p w:rsidR="009F7A88" w:rsidRDefault="008C6FC6">
            <w:pPr>
              <w:widowControl/>
              <w:jc w:val="center"/>
              <w:rPr>
                <w:rFonts w:ascii="宋体" w:hAnsi="宋体" w:cs="宋体"/>
                <w:kern w:val="0"/>
                <w:sz w:val="24"/>
              </w:rPr>
            </w:pPr>
            <w:r>
              <w:rPr>
                <w:rFonts w:ascii="宋体" w:hAnsi="宋体" w:cs="宋体" w:hint="eastAsia"/>
                <w:sz w:val="24"/>
              </w:rPr>
              <w:t>基本支出</w:t>
            </w:r>
          </w:p>
        </w:tc>
        <w:tc>
          <w:tcPr>
            <w:tcW w:w="2268" w:type="dxa"/>
            <w:vAlign w:val="center"/>
          </w:tcPr>
          <w:p w:rsidR="009F7A88" w:rsidRDefault="008C6FC6">
            <w:pPr>
              <w:widowControl/>
              <w:jc w:val="center"/>
              <w:rPr>
                <w:rFonts w:ascii="宋体" w:hAnsi="宋体" w:cs="宋体"/>
                <w:kern w:val="0"/>
                <w:sz w:val="24"/>
              </w:rPr>
            </w:pPr>
            <w:r>
              <w:rPr>
                <w:rFonts w:ascii="宋体" w:hAnsi="宋体" w:cs="宋体" w:hint="eastAsia"/>
                <w:sz w:val="24"/>
              </w:rPr>
              <w:t>830.72</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53.43</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884.15</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884.15</w:t>
            </w:r>
          </w:p>
        </w:tc>
        <w:tc>
          <w:tcPr>
            <w:tcW w:w="2161" w:type="dxa"/>
            <w:vAlign w:val="center"/>
          </w:tcPr>
          <w:p w:rsidR="009F7A88" w:rsidRDefault="008C6FC6">
            <w:pPr>
              <w:widowControl/>
              <w:jc w:val="center"/>
              <w:rPr>
                <w:rFonts w:ascii="宋体" w:hAnsi="宋体" w:cs="宋体"/>
                <w:sz w:val="24"/>
              </w:rPr>
            </w:pPr>
            <w:r>
              <w:rPr>
                <w:rFonts w:ascii="宋体" w:hAnsi="宋体" w:cs="宋体" w:hint="eastAsia"/>
                <w:sz w:val="24"/>
              </w:rPr>
              <w:t>100.00%</w:t>
            </w:r>
          </w:p>
        </w:tc>
      </w:tr>
      <w:tr w:rsidR="009F7A88">
        <w:trPr>
          <w:trHeight w:val="540"/>
          <w:jc w:val="center"/>
        </w:trPr>
        <w:tc>
          <w:tcPr>
            <w:tcW w:w="3079" w:type="dxa"/>
            <w:vAlign w:val="center"/>
          </w:tcPr>
          <w:p w:rsidR="009F7A88" w:rsidRDefault="008C6FC6">
            <w:pPr>
              <w:widowControl/>
              <w:jc w:val="center"/>
              <w:rPr>
                <w:rFonts w:ascii="宋体" w:hAnsi="宋体" w:cs="宋体"/>
                <w:kern w:val="0"/>
                <w:sz w:val="24"/>
              </w:rPr>
            </w:pPr>
            <w:r>
              <w:rPr>
                <w:rFonts w:ascii="宋体" w:hAnsi="宋体" w:cs="宋体" w:hint="eastAsia"/>
                <w:sz w:val="24"/>
              </w:rPr>
              <w:t>项目支出</w:t>
            </w:r>
          </w:p>
        </w:tc>
        <w:tc>
          <w:tcPr>
            <w:tcW w:w="2268" w:type="dxa"/>
            <w:vAlign w:val="center"/>
          </w:tcPr>
          <w:p w:rsidR="009F7A88" w:rsidRDefault="008C6FC6">
            <w:pPr>
              <w:widowControl/>
              <w:jc w:val="center"/>
              <w:rPr>
                <w:rFonts w:ascii="宋体" w:hAnsi="宋体" w:cs="宋体"/>
                <w:kern w:val="0"/>
                <w:sz w:val="24"/>
              </w:rPr>
            </w:pPr>
            <w:r>
              <w:rPr>
                <w:rFonts w:ascii="宋体" w:hAnsi="宋体" w:cs="宋体" w:hint="eastAsia"/>
                <w:sz w:val="24"/>
              </w:rPr>
              <w:t>68</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-44.2</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23.8</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23.8</w:t>
            </w:r>
          </w:p>
        </w:tc>
        <w:tc>
          <w:tcPr>
            <w:tcW w:w="2161" w:type="dxa"/>
            <w:vAlign w:val="center"/>
          </w:tcPr>
          <w:p w:rsidR="009F7A88" w:rsidRDefault="008C6FC6">
            <w:pPr>
              <w:widowControl/>
              <w:jc w:val="center"/>
              <w:rPr>
                <w:rFonts w:ascii="宋体" w:hAnsi="宋体" w:cs="宋体"/>
                <w:sz w:val="24"/>
              </w:rPr>
            </w:pPr>
            <w:r>
              <w:rPr>
                <w:rFonts w:ascii="宋体" w:hAnsi="宋体" w:cs="宋体" w:hint="eastAsia"/>
                <w:sz w:val="24"/>
              </w:rPr>
              <w:t>100.00%</w:t>
            </w:r>
          </w:p>
        </w:tc>
      </w:tr>
      <w:tr w:rsidR="009F7A88">
        <w:trPr>
          <w:trHeight w:val="540"/>
          <w:jc w:val="center"/>
        </w:trPr>
        <w:tc>
          <w:tcPr>
            <w:tcW w:w="3079" w:type="dxa"/>
            <w:vAlign w:val="center"/>
          </w:tcPr>
          <w:p w:rsidR="009F7A88" w:rsidRDefault="008C6FC6">
            <w:pPr>
              <w:widowControl/>
              <w:jc w:val="center"/>
              <w:rPr>
                <w:rFonts w:ascii="宋体" w:hAnsi="宋体" w:cs="宋体"/>
                <w:kern w:val="0"/>
                <w:sz w:val="24"/>
              </w:rPr>
            </w:pPr>
            <w:r>
              <w:rPr>
                <w:rFonts w:ascii="宋体" w:hAnsi="宋体" w:cs="宋体" w:hint="eastAsia"/>
                <w:sz w:val="24"/>
              </w:rPr>
              <w:t>物业管理费</w:t>
            </w:r>
          </w:p>
        </w:tc>
        <w:tc>
          <w:tcPr>
            <w:tcW w:w="2268" w:type="dxa"/>
            <w:vAlign w:val="center"/>
          </w:tcPr>
          <w:p w:rsidR="009F7A88" w:rsidRDefault="008C6FC6">
            <w:pPr>
              <w:widowControl/>
              <w:jc w:val="center"/>
              <w:rPr>
                <w:rFonts w:ascii="宋体" w:hAnsi="宋体" w:cs="宋体"/>
                <w:kern w:val="0"/>
                <w:sz w:val="24"/>
              </w:rPr>
            </w:pPr>
            <w:r>
              <w:rPr>
                <w:rFonts w:ascii="宋体" w:hAnsi="宋体" w:cs="宋体" w:hint="eastAsia"/>
                <w:sz w:val="24"/>
              </w:rPr>
              <w:t>20</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0</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20</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20</w:t>
            </w:r>
          </w:p>
        </w:tc>
        <w:tc>
          <w:tcPr>
            <w:tcW w:w="2161" w:type="dxa"/>
            <w:vAlign w:val="center"/>
          </w:tcPr>
          <w:p w:rsidR="009F7A88" w:rsidRDefault="008C6FC6">
            <w:pPr>
              <w:widowControl/>
              <w:jc w:val="center"/>
              <w:rPr>
                <w:rFonts w:ascii="宋体" w:hAnsi="宋体" w:cs="宋体"/>
                <w:sz w:val="24"/>
              </w:rPr>
            </w:pPr>
            <w:r>
              <w:rPr>
                <w:rFonts w:ascii="宋体" w:hAnsi="宋体" w:cs="宋体" w:hint="eastAsia"/>
                <w:sz w:val="24"/>
              </w:rPr>
              <w:t>100.00%</w:t>
            </w:r>
          </w:p>
        </w:tc>
      </w:tr>
      <w:tr w:rsidR="009F7A88">
        <w:trPr>
          <w:trHeight w:val="540"/>
          <w:jc w:val="center"/>
        </w:trPr>
        <w:tc>
          <w:tcPr>
            <w:tcW w:w="3079" w:type="dxa"/>
            <w:vAlign w:val="center"/>
          </w:tcPr>
          <w:p w:rsidR="009F7A88" w:rsidRDefault="008C6FC6">
            <w:pPr>
              <w:widowControl/>
              <w:jc w:val="center"/>
              <w:rPr>
                <w:rFonts w:ascii="宋体" w:hAnsi="宋体" w:cs="宋体"/>
                <w:kern w:val="0"/>
                <w:sz w:val="24"/>
              </w:rPr>
            </w:pPr>
            <w:r>
              <w:rPr>
                <w:rFonts w:ascii="宋体" w:hAnsi="宋体" w:cs="宋体" w:hint="eastAsia"/>
                <w:sz w:val="24"/>
              </w:rPr>
              <w:t>委托业务费</w:t>
            </w:r>
          </w:p>
        </w:tc>
        <w:tc>
          <w:tcPr>
            <w:tcW w:w="2268" w:type="dxa"/>
            <w:vAlign w:val="center"/>
          </w:tcPr>
          <w:p w:rsidR="009F7A88" w:rsidRDefault="008C6FC6">
            <w:pPr>
              <w:widowControl/>
              <w:jc w:val="center"/>
              <w:rPr>
                <w:rFonts w:ascii="宋体" w:hAnsi="宋体" w:cs="宋体"/>
                <w:kern w:val="0"/>
                <w:sz w:val="24"/>
              </w:rPr>
            </w:pPr>
            <w:r>
              <w:rPr>
                <w:rFonts w:ascii="宋体" w:hAnsi="宋体" w:cs="宋体" w:hint="eastAsia"/>
                <w:sz w:val="24"/>
              </w:rPr>
              <w:t>43</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-39.9</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3.1</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3.1</w:t>
            </w:r>
          </w:p>
        </w:tc>
        <w:tc>
          <w:tcPr>
            <w:tcW w:w="2161" w:type="dxa"/>
            <w:vAlign w:val="center"/>
          </w:tcPr>
          <w:p w:rsidR="009F7A88" w:rsidRDefault="008C6FC6">
            <w:pPr>
              <w:widowControl/>
              <w:jc w:val="center"/>
              <w:rPr>
                <w:rFonts w:ascii="宋体" w:hAnsi="宋体" w:cs="宋体"/>
                <w:sz w:val="24"/>
              </w:rPr>
            </w:pPr>
            <w:r>
              <w:rPr>
                <w:rFonts w:ascii="宋体" w:hAnsi="宋体" w:cs="宋体" w:hint="eastAsia"/>
                <w:sz w:val="24"/>
              </w:rPr>
              <w:t>100.00%</w:t>
            </w:r>
          </w:p>
        </w:tc>
      </w:tr>
      <w:tr w:rsidR="009F7A88">
        <w:trPr>
          <w:trHeight w:val="540"/>
          <w:jc w:val="center"/>
        </w:trPr>
        <w:tc>
          <w:tcPr>
            <w:tcW w:w="3079" w:type="dxa"/>
            <w:vAlign w:val="center"/>
          </w:tcPr>
          <w:p w:rsidR="009F7A88" w:rsidRDefault="008C6FC6">
            <w:pPr>
              <w:widowControl/>
              <w:jc w:val="center"/>
              <w:rPr>
                <w:rFonts w:ascii="宋体" w:hAnsi="宋体" w:cs="宋体"/>
                <w:kern w:val="0"/>
                <w:sz w:val="24"/>
              </w:rPr>
            </w:pPr>
            <w:r>
              <w:rPr>
                <w:rFonts w:ascii="宋体" w:hAnsi="宋体" w:cs="宋体" w:hint="eastAsia"/>
                <w:sz w:val="24"/>
              </w:rPr>
              <w:t>房屋维修维护费</w:t>
            </w:r>
          </w:p>
        </w:tc>
        <w:tc>
          <w:tcPr>
            <w:tcW w:w="2268" w:type="dxa"/>
            <w:vAlign w:val="center"/>
          </w:tcPr>
          <w:p w:rsidR="009F7A88" w:rsidRDefault="008C6FC6">
            <w:pPr>
              <w:widowControl/>
              <w:jc w:val="center"/>
              <w:rPr>
                <w:rFonts w:ascii="宋体" w:hAnsi="宋体" w:cs="宋体"/>
                <w:kern w:val="0"/>
                <w:sz w:val="24"/>
              </w:rPr>
            </w:pPr>
            <w:r>
              <w:rPr>
                <w:rFonts w:ascii="宋体" w:hAnsi="宋体" w:cs="宋体" w:hint="eastAsia"/>
                <w:sz w:val="24"/>
              </w:rPr>
              <w:t>5</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-4.3</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0.7</w:t>
            </w:r>
          </w:p>
        </w:tc>
        <w:tc>
          <w:tcPr>
            <w:tcW w:w="2268" w:type="dxa"/>
            <w:vAlign w:val="center"/>
          </w:tcPr>
          <w:p w:rsidR="009F7A88" w:rsidRDefault="008C6FC6">
            <w:pPr>
              <w:widowControl/>
              <w:jc w:val="center"/>
              <w:rPr>
                <w:rFonts w:ascii="宋体" w:hAnsi="宋体" w:cs="宋体"/>
                <w:sz w:val="24"/>
              </w:rPr>
            </w:pPr>
            <w:r>
              <w:rPr>
                <w:rFonts w:ascii="宋体" w:hAnsi="宋体" w:cs="宋体" w:hint="eastAsia"/>
                <w:sz w:val="24"/>
              </w:rPr>
              <w:t>0.7</w:t>
            </w:r>
          </w:p>
        </w:tc>
        <w:tc>
          <w:tcPr>
            <w:tcW w:w="2161" w:type="dxa"/>
            <w:vAlign w:val="center"/>
          </w:tcPr>
          <w:p w:rsidR="009F7A88" w:rsidRDefault="008C6FC6">
            <w:pPr>
              <w:widowControl/>
              <w:jc w:val="center"/>
              <w:rPr>
                <w:rFonts w:ascii="宋体" w:hAnsi="宋体" w:cs="宋体"/>
                <w:sz w:val="24"/>
              </w:rPr>
            </w:pPr>
            <w:r>
              <w:rPr>
                <w:rFonts w:ascii="宋体" w:hAnsi="宋体" w:cs="宋体" w:hint="eastAsia"/>
                <w:sz w:val="24"/>
              </w:rPr>
              <w:t>100.00%</w:t>
            </w:r>
          </w:p>
        </w:tc>
      </w:tr>
    </w:tbl>
    <w:p w:rsidR="009F7A88" w:rsidRDefault="009F7A88">
      <w:pPr>
        <w:spacing w:line="360" w:lineRule="auto"/>
        <w:ind w:left="600"/>
        <w:rPr>
          <w:rFonts w:ascii="黑体" w:eastAsia="黑体" w:hAnsi="黑体"/>
          <w:sz w:val="30"/>
        </w:rPr>
      </w:pPr>
    </w:p>
    <w:p w:rsidR="009F7A88" w:rsidRDefault="008C6FC6">
      <w:pPr>
        <w:numPr>
          <w:ilvl w:val="0"/>
          <w:numId w:val="1"/>
        </w:numPr>
        <w:spacing w:line="360" w:lineRule="auto"/>
        <w:ind w:left="600"/>
        <w:rPr>
          <w:rFonts w:ascii="黑体" w:eastAsia="黑体" w:hAnsi="黑体"/>
          <w:sz w:val="32"/>
          <w:szCs w:val="32"/>
        </w:rPr>
      </w:pPr>
      <w:r>
        <w:rPr>
          <w:rFonts w:ascii="黑体" w:eastAsia="黑体" w:hAnsi="黑体" w:hint="eastAsia"/>
          <w:sz w:val="32"/>
          <w:szCs w:val="32"/>
        </w:rPr>
        <w:t>年度重点任务</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36"/>
        <w:gridCol w:w="7658"/>
        <w:gridCol w:w="3118"/>
      </w:tblGrid>
      <w:tr w:rsidR="009F7A88">
        <w:trPr>
          <w:trHeight w:val="361"/>
          <w:jc w:val="center"/>
        </w:trPr>
        <w:tc>
          <w:tcPr>
            <w:tcW w:w="3536" w:type="dxa"/>
            <w:shd w:val="clear" w:color="000000" w:fill="BFBFBF"/>
            <w:vAlign w:val="center"/>
          </w:tcPr>
          <w:p w:rsidR="009F7A88" w:rsidRDefault="009F7A88">
            <w:pPr>
              <w:widowControl/>
              <w:jc w:val="center"/>
              <w:rPr>
                <w:rFonts w:ascii="宋体" w:hAnsi="宋体" w:cs="宋体"/>
                <w:b/>
                <w:bCs/>
                <w:kern w:val="0"/>
                <w:sz w:val="24"/>
              </w:rPr>
            </w:pPr>
          </w:p>
          <w:p w:rsidR="009F7A88" w:rsidRDefault="008C6FC6">
            <w:pPr>
              <w:widowControl/>
              <w:jc w:val="center"/>
              <w:rPr>
                <w:rFonts w:ascii="宋体" w:hAnsi="宋体" w:cs="宋体"/>
                <w:b/>
                <w:bCs/>
                <w:kern w:val="0"/>
                <w:sz w:val="24"/>
              </w:rPr>
            </w:pPr>
            <w:r>
              <w:rPr>
                <w:rFonts w:ascii="宋体" w:hAnsi="宋体" w:cs="宋体" w:hint="eastAsia"/>
                <w:b/>
                <w:bCs/>
                <w:kern w:val="0"/>
                <w:sz w:val="24"/>
              </w:rPr>
              <w:t>对应部门主要职责</w:t>
            </w:r>
          </w:p>
          <w:p w:rsidR="009F7A88" w:rsidRDefault="009F7A88">
            <w:pPr>
              <w:widowControl/>
              <w:jc w:val="center"/>
              <w:rPr>
                <w:rFonts w:ascii="宋体" w:hAnsi="宋体" w:cs="宋体"/>
                <w:b/>
                <w:bCs/>
                <w:kern w:val="0"/>
                <w:sz w:val="24"/>
              </w:rPr>
            </w:pPr>
          </w:p>
        </w:tc>
        <w:tc>
          <w:tcPr>
            <w:tcW w:w="7658"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kern w:val="0"/>
                <w:sz w:val="24"/>
              </w:rPr>
              <w:t>任务名称</w:t>
            </w:r>
          </w:p>
        </w:tc>
        <w:tc>
          <w:tcPr>
            <w:tcW w:w="3118"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kern w:val="0"/>
                <w:sz w:val="24"/>
              </w:rPr>
              <w:t>完成情况</w:t>
            </w:r>
          </w:p>
        </w:tc>
      </w:tr>
      <w:tr w:rsidR="009F7A88">
        <w:trPr>
          <w:trHeight w:val="648"/>
          <w:jc w:val="center"/>
        </w:trPr>
        <w:tc>
          <w:tcPr>
            <w:tcW w:w="3536" w:type="dxa"/>
            <w:vAlign w:val="center"/>
          </w:tcPr>
          <w:p w:rsidR="009F7A88" w:rsidRDefault="008C6FC6">
            <w:pPr>
              <w:widowControl/>
              <w:jc w:val="center"/>
              <w:rPr>
                <w:rFonts w:ascii="宋体" w:hAnsi="宋体" w:cs="宋体"/>
                <w:kern w:val="0"/>
                <w:sz w:val="24"/>
              </w:rPr>
            </w:pPr>
            <w:r>
              <w:rPr>
                <w:rFonts w:ascii="宋体" w:hAnsi="宋体" w:cs="宋体" w:hint="eastAsia"/>
                <w:sz w:val="24"/>
              </w:rPr>
              <w:t>节能监察</w:t>
            </w:r>
          </w:p>
        </w:tc>
        <w:tc>
          <w:tcPr>
            <w:tcW w:w="7658" w:type="dxa"/>
            <w:vAlign w:val="center"/>
          </w:tcPr>
          <w:p w:rsidR="009F7A88" w:rsidRDefault="008C6FC6">
            <w:pPr>
              <w:widowControl/>
              <w:jc w:val="center"/>
              <w:rPr>
                <w:rFonts w:ascii="宋体" w:hAnsi="宋体" w:cs="宋体"/>
                <w:sz w:val="24"/>
              </w:rPr>
            </w:pPr>
            <w:r>
              <w:rPr>
                <w:rFonts w:ascii="宋体" w:hAnsi="宋体" w:cs="宋体" w:hint="eastAsia"/>
                <w:sz w:val="24"/>
              </w:rPr>
              <w:t>承担节能监察工作、受理有关举报和投诉、承担具体执法辅助工作。</w:t>
            </w:r>
          </w:p>
        </w:tc>
        <w:tc>
          <w:tcPr>
            <w:tcW w:w="3118" w:type="dxa"/>
            <w:vAlign w:val="center"/>
          </w:tcPr>
          <w:p w:rsidR="009F7A88" w:rsidRDefault="008C6FC6">
            <w:pPr>
              <w:widowControl/>
              <w:jc w:val="center"/>
              <w:rPr>
                <w:rFonts w:ascii="宋体" w:hAnsi="宋体" w:cs="宋体"/>
                <w:sz w:val="24"/>
              </w:rPr>
            </w:pPr>
            <w:r>
              <w:rPr>
                <w:rFonts w:ascii="宋体" w:hAnsi="宋体" w:cs="宋体" w:hint="eastAsia"/>
                <w:sz w:val="24"/>
              </w:rPr>
              <w:t>日常监察企业103家</w:t>
            </w:r>
          </w:p>
        </w:tc>
      </w:tr>
    </w:tbl>
    <w:p w:rsidR="009F7A88" w:rsidRDefault="009F7A88">
      <w:pPr>
        <w:spacing w:line="360" w:lineRule="auto"/>
        <w:rPr>
          <w:rFonts w:ascii="黑体" w:eastAsia="黑体" w:hAnsi="黑体"/>
          <w:sz w:val="30"/>
        </w:rPr>
      </w:pPr>
    </w:p>
    <w:p w:rsidR="009F7A88" w:rsidRDefault="008C6FC6">
      <w:pPr>
        <w:widowControl/>
        <w:jc w:val="left"/>
        <w:rPr>
          <w:rFonts w:ascii="黑体" w:eastAsia="黑体" w:hAnsi="黑体"/>
          <w:sz w:val="30"/>
        </w:rPr>
      </w:pPr>
      <w:r>
        <w:rPr>
          <w:rFonts w:ascii="黑体" w:eastAsia="黑体" w:hAnsi="黑体" w:hint="eastAsia"/>
          <w:sz w:val="30"/>
        </w:rPr>
        <w:br w:type="page"/>
      </w:r>
    </w:p>
    <w:p w:rsidR="009F7A88" w:rsidRDefault="008C6FC6">
      <w:pPr>
        <w:numPr>
          <w:ilvl w:val="0"/>
          <w:numId w:val="1"/>
        </w:numPr>
        <w:spacing w:line="360" w:lineRule="auto"/>
        <w:ind w:left="600"/>
        <w:rPr>
          <w:rFonts w:ascii="黑体" w:eastAsia="黑体" w:hAnsi="黑体"/>
          <w:sz w:val="32"/>
          <w:szCs w:val="32"/>
        </w:rPr>
      </w:pPr>
      <w:r>
        <w:rPr>
          <w:rFonts w:ascii="黑体" w:eastAsia="黑体" w:hAnsi="黑体" w:hint="eastAsia"/>
          <w:sz w:val="32"/>
          <w:szCs w:val="32"/>
        </w:rPr>
        <w:lastRenderedPageBreak/>
        <w:t>部门整体自评表</w:t>
      </w:r>
      <w:bookmarkStart w:id="6" w:name="_GoBack"/>
      <w:bookmarkEnd w:id="6"/>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6"/>
        <w:gridCol w:w="998"/>
        <w:gridCol w:w="3402"/>
        <w:gridCol w:w="1134"/>
        <w:gridCol w:w="992"/>
        <w:gridCol w:w="5386"/>
        <w:gridCol w:w="851"/>
        <w:gridCol w:w="850"/>
      </w:tblGrid>
      <w:tr w:rsidR="009F7A88">
        <w:trPr>
          <w:trHeight w:val="340"/>
          <w:tblHeader/>
          <w:jc w:val="center"/>
        </w:trPr>
        <w:tc>
          <w:tcPr>
            <w:tcW w:w="846" w:type="dxa"/>
            <w:shd w:val="clear" w:color="000000" w:fill="BFBFBF"/>
            <w:vAlign w:val="center"/>
          </w:tcPr>
          <w:p w:rsidR="009F7A88" w:rsidRDefault="009F7A88">
            <w:pPr>
              <w:widowControl/>
              <w:jc w:val="center"/>
              <w:rPr>
                <w:rFonts w:ascii="宋体" w:hAnsi="宋体" w:cs="宋体"/>
                <w:b/>
                <w:bCs/>
                <w:kern w:val="0"/>
                <w:sz w:val="24"/>
              </w:rPr>
            </w:pPr>
          </w:p>
        </w:tc>
        <w:tc>
          <w:tcPr>
            <w:tcW w:w="998"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sz w:val="24"/>
              </w:rPr>
              <w:t>类别</w:t>
            </w:r>
          </w:p>
        </w:tc>
        <w:tc>
          <w:tcPr>
            <w:tcW w:w="3402"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sz w:val="24"/>
              </w:rPr>
              <w:t>指标名称</w:t>
            </w:r>
          </w:p>
        </w:tc>
        <w:tc>
          <w:tcPr>
            <w:tcW w:w="1134"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sz w:val="24"/>
              </w:rPr>
              <w:t>指标目标值</w:t>
            </w:r>
          </w:p>
        </w:tc>
        <w:tc>
          <w:tcPr>
            <w:tcW w:w="992"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sz w:val="24"/>
              </w:rPr>
              <w:t>指标完成值</w:t>
            </w:r>
          </w:p>
        </w:tc>
        <w:tc>
          <w:tcPr>
            <w:tcW w:w="5386" w:type="dxa"/>
            <w:shd w:val="clear" w:color="000000" w:fill="BFBFBF"/>
            <w:vAlign w:val="center"/>
          </w:tcPr>
          <w:p w:rsidR="009F7A88" w:rsidRDefault="008C6FC6">
            <w:pPr>
              <w:widowControl/>
              <w:jc w:val="center"/>
              <w:rPr>
                <w:rFonts w:ascii="宋体" w:hAnsi="宋体" w:cs="宋体"/>
                <w:b/>
                <w:bCs/>
                <w:kern w:val="0"/>
                <w:sz w:val="24"/>
              </w:rPr>
            </w:pPr>
            <w:r>
              <w:rPr>
                <w:rFonts w:ascii="宋体" w:hAnsi="宋体" w:cs="宋体" w:hint="eastAsia"/>
                <w:b/>
                <w:bCs/>
                <w:sz w:val="24"/>
              </w:rPr>
              <w:t>完成值来源</w:t>
            </w:r>
          </w:p>
        </w:tc>
        <w:tc>
          <w:tcPr>
            <w:tcW w:w="851" w:type="dxa"/>
            <w:shd w:val="clear" w:color="000000" w:fill="BFBFBF"/>
            <w:vAlign w:val="center"/>
          </w:tcPr>
          <w:p w:rsidR="009F7A88" w:rsidRDefault="008C6FC6">
            <w:pPr>
              <w:widowControl/>
              <w:jc w:val="center"/>
              <w:rPr>
                <w:rFonts w:ascii="宋体" w:hAnsi="宋体" w:cs="宋体"/>
                <w:b/>
                <w:bCs/>
                <w:sz w:val="24"/>
              </w:rPr>
            </w:pPr>
            <w:r>
              <w:rPr>
                <w:rFonts w:ascii="宋体" w:hAnsi="宋体" w:cs="宋体" w:hint="eastAsia"/>
                <w:b/>
                <w:bCs/>
                <w:sz w:val="24"/>
              </w:rPr>
              <w:t>偏差情况</w:t>
            </w:r>
          </w:p>
        </w:tc>
        <w:tc>
          <w:tcPr>
            <w:tcW w:w="850" w:type="dxa"/>
            <w:shd w:val="clear" w:color="000000" w:fill="BFBFBF"/>
          </w:tcPr>
          <w:p w:rsidR="009F7A88" w:rsidRDefault="008C6FC6">
            <w:pPr>
              <w:widowControl/>
              <w:jc w:val="center"/>
              <w:rPr>
                <w:rFonts w:ascii="黑体" w:eastAsia="黑体" w:hAnsi="黑体"/>
                <w:sz w:val="30"/>
              </w:rPr>
            </w:pPr>
            <w:r>
              <w:rPr>
                <w:rFonts w:ascii="宋体" w:hAnsi="宋体" w:cs="宋体" w:hint="eastAsia"/>
                <w:b/>
                <w:bCs/>
                <w:sz w:val="24"/>
              </w:rPr>
              <w:t>原因分析</w:t>
            </w:r>
          </w:p>
        </w:tc>
      </w:tr>
      <w:tr w:rsidR="009F7A88">
        <w:trPr>
          <w:trHeight w:val="539"/>
          <w:jc w:val="center"/>
        </w:trPr>
        <w:tc>
          <w:tcPr>
            <w:tcW w:w="846" w:type="dxa"/>
            <w:vMerge w:val="restart"/>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分解目标</w:t>
            </w:r>
          </w:p>
        </w:tc>
        <w:tc>
          <w:tcPr>
            <w:tcW w:w="998" w:type="dxa"/>
            <w:vMerge w:val="restart"/>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决策</w:t>
            </w: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工作计划制定健全性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单位年度工作目标和计划</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中长期规划制定健全性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单位年度工作目标和计划</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绩效指标明确性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明确</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明确</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预算绩效管理信息系统</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绩效目标合理性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合理</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合理</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预算绩效管理信息系统</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预算编制科学性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科学</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科学</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预算管理一体化平台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预算编制规范性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规范</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规范</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预算管理一体化平台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restart"/>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过程</w:t>
            </w: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预决算信息公开度</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公开</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公开</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江苏省预决算公开平台、部门网站</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绩效管理覆盖率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预算管理一体化平台、预算绩效管理信息系统</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r w:rsidR="00366AF2">
              <w:rPr>
                <w:rFonts w:ascii="宋体" w:hAnsi="宋体" w:cs="宋体" w:hint="eastAsia"/>
                <w:sz w:val="24"/>
              </w:rPr>
              <w:t>．00</w:t>
            </w:r>
            <w:r>
              <w:rPr>
                <w:rFonts w:ascii="宋体" w:hAnsi="宋体" w:cs="宋体" w:hint="eastAsia"/>
                <w:sz w:val="24"/>
              </w:rPr>
              <w:t>%</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预算管理制度健全性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内部管理制度汇编</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非税收入管理合规性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合规</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合规</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非税收入管理系统</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资金使用合规性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合规</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合规</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原始凭证、预算管理一体化平台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基础信息完善性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完善</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完善</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预算管理一体化平台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资产管理制度健全性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内部管理制度汇编</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固定资产利用率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江苏省财政预算管理一体化资产云平台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r w:rsidR="00366AF2">
              <w:rPr>
                <w:rFonts w:ascii="宋体" w:hAnsi="宋体" w:cs="宋体" w:hint="eastAsia"/>
                <w:sz w:val="24"/>
              </w:rPr>
              <w:t>．00</w:t>
            </w:r>
            <w:r>
              <w:rPr>
                <w:rFonts w:ascii="宋体" w:hAnsi="宋体" w:cs="宋体" w:hint="eastAsia"/>
                <w:sz w:val="24"/>
              </w:rPr>
              <w:t>%</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资产管理规范性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规范</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规范</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江苏省财政预算管理一体化资产云平台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项目管理制度执行规范性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规范</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规范</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内部管理制度汇编</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项目管理制度健全性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内部管理制度汇编</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在职人员控制率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编制（职数）使用前置审核表</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r w:rsidR="00366AF2">
              <w:rPr>
                <w:rFonts w:ascii="宋体" w:hAnsi="宋体" w:cs="宋体" w:hint="eastAsia"/>
                <w:sz w:val="24"/>
              </w:rPr>
              <w:t>.00</w:t>
            </w:r>
            <w:r>
              <w:rPr>
                <w:rFonts w:ascii="宋体" w:hAnsi="宋体" w:cs="宋体" w:hint="eastAsia"/>
                <w:sz w:val="24"/>
              </w:rPr>
              <w:t>%</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人员管理制度执行有效性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有效</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有效</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内部管理制度汇编</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人员管理制度健全性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健全</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人事档案管理</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组织建设工作及时完成率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执法人员考试</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r w:rsidR="00366AF2">
              <w:rPr>
                <w:rFonts w:ascii="宋体" w:hAnsi="宋体" w:cs="宋体" w:hint="eastAsia"/>
                <w:sz w:val="24"/>
              </w:rPr>
              <w:t>.00</w:t>
            </w:r>
            <w:r>
              <w:rPr>
                <w:rFonts w:ascii="宋体" w:hAnsi="宋体" w:cs="宋体" w:hint="eastAsia"/>
                <w:sz w:val="24"/>
              </w:rPr>
              <w:t>%</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业务学习与培训及时完成率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会议记录</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r w:rsidR="00366AF2">
              <w:rPr>
                <w:rFonts w:ascii="宋体" w:hAnsi="宋体" w:cs="宋体" w:hint="eastAsia"/>
                <w:sz w:val="24"/>
              </w:rPr>
              <w:t>.00</w:t>
            </w:r>
            <w:r>
              <w:rPr>
                <w:rFonts w:ascii="宋体" w:hAnsi="宋体" w:cs="宋体" w:hint="eastAsia"/>
                <w:sz w:val="24"/>
              </w:rPr>
              <w:t>%</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纪检监察工作有效性</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有效</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有效</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内部管理制度汇编</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支付进度符合率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预算管理一体化平台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0.00%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非税收入预算完成率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&gt;=100%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非税收入管理系统</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0.00%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公用经费控制率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&lt;=100%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预算批复、决算、预算管理一体化平台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0.00%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预算调整率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1.03%</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预算批复、决算、预算管理一体化平台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政府采购执行率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苏采云、预算管理一体化平台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0.00%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预算执行率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预算批复、预算管理一体化平台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0.00%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结转结余率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预算管理一体化平台</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预算偏差率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&lt;=10%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1.03%</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预算批复、决算</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-89.70%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Merge/>
            <w:vAlign w:val="center"/>
          </w:tcPr>
          <w:p w:rsidR="009F7A88" w:rsidRDefault="009F7A88">
            <w:pPr>
              <w:spacing w:line="360" w:lineRule="auto"/>
              <w:jc w:val="center"/>
              <w:rPr>
                <w:rFonts w:ascii="宋体" w:hAnsi="宋体" w:cs="宋体"/>
                <w:kern w:val="0"/>
                <w:sz w:val="24"/>
              </w:rPr>
            </w:pPr>
          </w:p>
        </w:tc>
        <w:tc>
          <w:tcPr>
            <w:tcW w:w="3402" w:type="dxa"/>
            <w:vAlign w:val="center"/>
          </w:tcPr>
          <w:p w:rsidR="009F7A88" w:rsidRDefault="008C6FC6">
            <w:pPr>
              <w:spacing w:line="360" w:lineRule="auto"/>
              <w:jc w:val="center"/>
              <w:rPr>
                <w:rFonts w:ascii="宋体" w:hAnsi="宋体" w:cs="宋体"/>
                <w:kern w:val="0"/>
                <w:sz w:val="24"/>
              </w:rPr>
            </w:pPr>
            <w:r>
              <w:rPr>
                <w:rFonts w:ascii="宋体" w:eastAsia="仿宋_GB2312" w:hAnsi="宋体" w:cs="宋体" w:hint="eastAsia"/>
                <w:sz w:val="24"/>
              </w:rPr>
              <w:t>“</w:t>
            </w:r>
            <w:r>
              <w:rPr>
                <w:rFonts w:ascii="宋体" w:hAnsi="宋体" w:cs="宋体" w:hint="eastAsia"/>
                <w:sz w:val="24"/>
              </w:rPr>
              <w:t>三公经费</w:t>
            </w:r>
            <w:r>
              <w:rPr>
                <w:rFonts w:ascii="宋体" w:eastAsia="仿宋_GB2312" w:hAnsi="宋体" w:cs="宋体" w:hint="eastAsia"/>
                <w:sz w:val="24"/>
              </w:rPr>
              <w:t>”</w:t>
            </w:r>
            <w:r>
              <w:rPr>
                <w:rFonts w:ascii="宋体" w:hAnsi="宋体" w:cs="宋体" w:hint="eastAsia"/>
                <w:sz w:val="24"/>
              </w:rPr>
              <w:t>变动率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&lt;=0%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预算批复、决算</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效益</w:t>
            </w: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提高企业能资源效率</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较好</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较好</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合理化建议表</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满意度</w:t>
            </w: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企业满意度</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满意度调查表</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0.00%</w:t>
            </w:r>
          </w:p>
        </w:tc>
        <w:tc>
          <w:tcPr>
            <w:tcW w:w="850" w:type="dxa"/>
          </w:tcPr>
          <w:p w:rsidR="009F7A88" w:rsidRDefault="009F7A88">
            <w:pPr>
              <w:spacing w:line="360" w:lineRule="auto"/>
              <w:rPr>
                <w:rFonts w:ascii="宋体" w:hAnsi="宋体" w:cs="宋体"/>
                <w:kern w:val="0"/>
                <w:sz w:val="22"/>
              </w:rPr>
            </w:pPr>
          </w:p>
        </w:tc>
      </w:tr>
      <w:tr w:rsidR="009F7A88">
        <w:trPr>
          <w:trHeight w:val="540"/>
          <w:jc w:val="center"/>
        </w:trPr>
        <w:tc>
          <w:tcPr>
            <w:tcW w:w="846" w:type="dxa"/>
            <w:vMerge/>
            <w:vAlign w:val="center"/>
          </w:tcPr>
          <w:p w:rsidR="009F7A88" w:rsidRDefault="009F7A88">
            <w:pPr>
              <w:spacing w:line="360" w:lineRule="auto"/>
              <w:jc w:val="center"/>
              <w:rPr>
                <w:rFonts w:ascii="宋体" w:hAnsi="宋体" w:cs="宋体"/>
                <w:kern w:val="0"/>
                <w:sz w:val="24"/>
              </w:rPr>
            </w:pPr>
          </w:p>
        </w:tc>
        <w:tc>
          <w:tcPr>
            <w:tcW w:w="998"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履职</w:t>
            </w:r>
          </w:p>
        </w:tc>
        <w:tc>
          <w:tcPr>
            <w:tcW w:w="340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日常节能监察企业家数</w:t>
            </w:r>
          </w:p>
        </w:tc>
        <w:tc>
          <w:tcPr>
            <w:tcW w:w="1134"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=100家</w:t>
            </w:r>
          </w:p>
        </w:tc>
        <w:tc>
          <w:tcPr>
            <w:tcW w:w="992"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103家</w:t>
            </w:r>
          </w:p>
        </w:tc>
        <w:tc>
          <w:tcPr>
            <w:tcW w:w="5386"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监察文书</w:t>
            </w:r>
          </w:p>
        </w:tc>
        <w:tc>
          <w:tcPr>
            <w:tcW w:w="851" w:type="dxa"/>
            <w:vAlign w:val="center"/>
          </w:tcPr>
          <w:p w:rsidR="009F7A88" w:rsidRDefault="008C6FC6">
            <w:pPr>
              <w:spacing w:line="360" w:lineRule="auto"/>
              <w:jc w:val="center"/>
              <w:rPr>
                <w:rFonts w:ascii="宋体" w:hAnsi="宋体" w:cs="宋体"/>
                <w:kern w:val="0"/>
                <w:sz w:val="24"/>
              </w:rPr>
            </w:pPr>
            <w:r>
              <w:rPr>
                <w:rFonts w:ascii="宋体" w:hAnsi="宋体" w:cs="宋体" w:hint="eastAsia"/>
                <w:sz w:val="24"/>
              </w:rPr>
              <w:t>3.00%</w:t>
            </w:r>
          </w:p>
        </w:tc>
        <w:tc>
          <w:tcPr>
            <w:tcW w:w="850" w:type="dxa"/>
          </w:tcPr>
          <w:p w:rsidR="009F7A88" w:rsidRDefault="009F7A88">
            <w:pPr>
              <w:spacing w:line="360" w:lineRule="auto"/>
              <w:rPr>
                <w:rFonts w:ascii="宋体" w:hAnsi="宋体" w:cs="宋体"/>
                <w:kern w:val="0"/>
                <w:sz w:val="22"/>
              </w:rPr>
            </w:pPr>
          </w:p>
        </w:tc>
      </w:tr>
    </w:tbl>
    <w:p w:rsidR="009F7A88" w:rsidRDefault="009F7A88">
      <w:pPr>
        <w:spacing w:line="360" w:lineRule="auto"/>
        <w:rPr>
          <w:rFonts w:ascii="黑体" w:eastAsia="黑体" w:hAnsi="黑体"/>
          <w:sz w:val="30"/>
        </w:rPr>
      </w:pPr>
    </w:p>
    <w:sectPr w:rsidR="009F7A88" w:rsidSect="009F7A88">
      <w:headerReference w:type="default" r:id="rId12"/>
      <w:footerReference w:type="default" r:id="rId13"/>
      <w:pgSz w:w="16840" w:h="11907" w:orient="landscape"/>
      <w:pgMar w:top="1559" w:right="1247" w:bottom="1400" w:left="1089" w:header="851" w:footer="992" w:gutter="0"/>
      <w:paperSrc w:first="15" w:other="15"/>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4FEA" w:rsidRDefault="000A4FEA" w:rsidP="009F7A88">
      <w:r>
        <w:separator/>
      </w:r>
    </w:p>
  </w:endnote>
  <w:endnote w:type="continuationSeparator" w:id="1">
    <w:p w:rsidR="000A4FEA" w:rsidRDefault="000A4FEA" w:rsidP="009F7A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新宋体">
    <w:panose1 w:val="02010609030101010101"/>
    <w:charset w:val="86"/>
    <w:family w:val="modern"/>
    <w:pitch w:val="fixed"/>
    <w:sig w:usb0="00000283" w:usb1="288F0000" w:usb2="00000016" w:usb3="00000000" w:csb0="00040001" w:csb1="00000000"/>
  </w:font>
  <w:font w:name="方正小标宋简体">
    <w:altName w:val="Arial Unicode MS"/>
    <w:charset w:val="86"/>
    <w:family w:val="auto"/>
    <w:pitch w:val="default"/>
    <w:sig w:usb0="00000000"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88" w:rsidRDefault="00445A53">
    <w:pPr>
      <w:pStyle w:val="a4"/>
      <w:framePr w:wrap="around" w:vAnchor="text" w:hAnchor="margin" w:xAlign="center" w:y="1"/>
      <w:rPr>
        <w:rStyle w:val="a7"/>
      </w:rPr>
    </w:pPr>
    <w:r>
      <w:fldChar w:fldCharType="begin"/>
    </w:r>
    <w:r w:rsidR="008C6FC6">
      <w:rPr>
        <w:rStyle w:val="a7"/>
      </w:rPr>
      <w:instrText xml:space="preserve">PAGE  </w:instrText>
    </w:r>
    <w:r>
      <w:fldChar w:fldCharType="end"/>
    </w:r>
  </w:p>
  <w:p w:rsidR="009F7A88" w:rsidRDefault="009F7A8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88" w:rsidRDefault="00445A53">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filled="f" stroked="f" strokeweight=".5pt">
          <v:textbox style="mso-fit-shape-to-text:t" inset="0,0,0,0">
            <w:txbxContent>
              <w:p w:rsidR="009F7A88" w:rsidRDefault="008C6FC6">
                <w:pPr>
                  <w:pStyle w:val="a4"/>
                  <w:rPr>
                    <w:rFonts w:ascii="宋体" w:hAnsi="宋体"/>
                    <w:sz w:val="28"/>
                  </w:rPr>
                </w:pPr>
                <w:r>
                  <w:rPr>
                    <w:rFonts w:ascii="宋体" w:hAnsi="宋体"/>
                    <w:sz w:val="28"/>
                  </w:rPr>
                  <w:t>—</w:t>
                </w:r>
                <w:r>
                  <w:rPr>
                    <w:rFonts w:ascii="宋体" w:hAnsi="宋体"/>
                    <w:sz w:val="24"/>
                  </w:rPr>
                  <w:t xml:space="preserve">　</w:t>
                </w:r>
                <w:r w:rsidR="00445A53">
                  <w:rPr>
                    <w:rFonts w:ascii="宋体" w:hAnsi="宋体"/>
                    <w:sz w:val="28"/>
                  </w:rPr>
                  <w:fldChar w:fldCharType="begin"/>
                </w:r>
                <w:r>
                  <w:rPr>
                    <w:rFonts w:ascii="宋体" w:hAnsi="宋体"/>
                    <w:sz w:val="28"/>
                  </w:rPr>
                  <w:instrText xml:space="preserve"> PAGE  \* MERGEFORMAT </w:instrText>
                </w:r>
                <w:r w:rsidR="00445A53">
                  <w:rPr>
                    <w:rFonts w:ascii="宋体" w:hAnsi="宋体"/>
                    <w:sz w:val="28"/>
                  </w:rPr>
                  <w:fldChar w:fldCharType="separate"/>
                </w:r>
                <w:r w:rsidR="00CC222C">
                  <w:rPr>
                    <w:rFonts w:ascii="宋体" w:hAnsi="宋体"/>
                    <w:noProof/>
                    <w:sz w:val="28"/>
                  </w:rPr>
                  <w:t>2</w:t>
                </w:r>
                <w:r w:rsidR="00445A53">
                  <w:rPr>
                    <w:rFonts w:ascii="宋体" w:hAnsi="宋体"/>
                    <w:sz w:val="28"/>
                  </w:rPr>
                  <w:fldChar w:fldCharType="end"/>
                </w:r>
                <w:r>
                  <w:rPr>
                    <w:rFonts w:ascii="宋体" w:hAnsi="宋体"/>
                    <w:sz w:val="24"/>
                  </w:rPr>
                  <w:t xml:space="preserve">　</w:t>
                </w:r>
                <w:r>
                  <w:rPr>
                    <w:rFonts w:ascii="宋体" w:hAnsi="宋体"/>
                    <w:sz w:val="28"/>
                  </w:rPr>
                  <w:t>—</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88" w:rsidRDefault="00445A53">
    <w:pPr>
      <w:pStyle w:val="a4"/>
    </w:pPr>
    <w:r>
      <w:pict>
        <v:shapetype id="_x0000_t202" coordsize="21600,21600" o:spt="202" path="m,l,21600r21600,l21600,xe">
          <v:stroke joinstyle="miter"/>
          <v:path gradientshapeok="t" o:connecttype="rect"/>
        </v:shapetype>
        <v:shape id="_x0000_s1027"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filled="f" stroked="f" strokeweight=".5pt">
          <v:textbox style="mso-fit-shape-to-text:t" inset="0,0,0,0">
            <w:txbxContent>
              <w:p w:rsidR="009F7A88" w:rsidRDefault="008C6FC6">
                <w:pPr>
                  <w:pStyle w:val="a4"/>
                  <w:rPr>
                    <w:rFonts w:ascii="宋体" w:hAnsi="宋体"/>
                    <w:sz w:val="28"/>
                  </w:rPr>
                </w:pPr>
                <w:r>
                  <w:rPr>
                    <w:rFonts w:ascii="宋体" w:hAnsi="宋体"/>
                    <w:sz w:val="28"/>
                  </w:rPr>
                  <w:t>—</w:t>
                </w:r>
                <w:r>
                  <w:rPr>
                    <w:rFonts w:ascii="宋体" w:hAnsi="宋体"/>
                    <w:sz w:val="24"/>
                  </w:rPr>
                  <w:t xml:space="preserve">　</w:t>
                </w:r>
                <w:r w:rsidR="00445A53">
                  <w:rPr>
                    <w:rFonts w:ascii="宋体" w:hAnsi="宋体"/>
                    <w:sz w:val="28"/>
                  </w:rPr>
                  <w:fldChar w:fldCharType="begin"/>
                </w:r>
                <w:r>
                  <w:rPr>
                    <w:rFonts w:ascii="宋体" w:hAnsi="宋体"/>
                    <w:sz w:val="28"/>
                  </w:rPr>
                  <w:instrText xml:space="preserve"> PAGE  \* MERGEFORMAT </w:instrText>
                </w:r>
                <w:r w:rsidR="00445A53">
                  <w:rPr>
                    <w:rFonts w:ascii="宋体" w:hAnsi="宋体"/>
                    <w:sz w:val="28"/>
                  </w:rPr>
                  <w:fldChar w:fldCharType="separate"/>
                </w:r>
                <w:r w:rsidR="00CC222C">
                  <w:rPr>
                    <w:rFonts w:ascii="宋体" w:hAnsi="宋体"/>
                    <w:noProof/>
                    <w:sz w:val="28"/>
                  </w:rPr>
                  <w:t>5</w:t>
                </w:r>
                <w:r w:rsidR="00445A53">
                  <w:rPr>
                    <w:rFonts w:ascii="宋体" w:hAnsi="宋体"/>
                    <w:sz w:val="28"/>
                  </w:rPr>
                  <w:fldChar w:fldCharType="end"/>
                </w:r>
                <w:r>
                  <w:rPr>
                    <w:rFonts w:ascii="宋体" w:hAnsi="宋体"/>
                    <w:sz w:val="24"/>
                  </w:rPr>
                  <w:t xml:space="preserve">　</w:t>
                </w:r>
                <w:r>
                  <w:rPr>
                    <w:rFonts w:ascii="宋体" w:hAnsi="宋体"/>
                    <w:sz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4FEA" w:rsidRDefault="000A4FEA" w:rsidP="009F7A88">
      <w:r>
        <w:separator/>
      </w:r>
    </w:p>
  </w:footnote>
  <w:footnote w:type="continuationSeparator" w:id="1">
    <w:p w:rsidR="000A4FEA" w:rsidRDefault="000A4FEA" w:rsidP="009F7A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88" w:rsidRDefault="009F7A88">
    <w:pPr>
      <w:pStyle w:val="a5"/>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88" w:rsidRDefault="009F7A88">
    <w:pPr>
      <w:pStyle w:val="a5"/>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A88" w:rsidRDefault="009F7A88">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7BB9F1"/>
    <w:multiLevelType w:val="singleLevel"/>
    <w:tmpl w:val="5D7BB9F1"/>
    <w:lvl w:ilvl="0">
      <w:start w:val="7"/>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4FEA"/>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96FD8"/>
    <w:rsid w:val="001A0AFE"/>
    <w:rsid w:val="001A1132"/>
    <w:rsid w:val="001A2A28"/>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24D9"/>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04D"/>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66AF2"/>
    <w:rsid w:val="003700B6"/>
    <w:rsid w:val="00370935"/>
    <w:rsid w:val="00371DB2"/>
    <w:rsid w:val="003729B0"/>
    <w:rsid w:val="00373041"/>
    <w:rsid w:val="003753A8"/>
    <w:rsid w:val="003831C1"/>
    <w:rsid w:val="00387A82"/>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45A53"/>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11E9"/>
    <w:rsid w:val="004F2DA8"/>
    <w:rsid w:val="004F4FE5"/>
    <w:rsid w:val="004F6112"/>
    <w:rsid w:val="004F6658"/>
    <w:rsid w:val="004F6BFF"/>
    <w:rsid w:val="004F71AE"/>
    <w:rsid w:val="00501E97"/>
    <w:rsid w:val="005038C9"/>
    <w:rsid w:val="00505CAE"/>
    <w:rsid w:val="00506E8C"/>
    <w:rsid w:val="00506FCF"/>
    <w:rsid w:val="0051294C"/>
    <w:rsid w:val="00512A8D"/>
    <w:rsid w:val="00521013"/>
    <w:rsid w:val="005264BD"/>
    <w:rsid w:val="00526943"/>
    <w:rsid w:val="0053137F"/>
    <w:rsid w:val="005314A7"/>
    <w:rsid w:val="00532870"/>
    <w:rsid w:val="005345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4D93"/>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1555"/>
    <w:rsid w:val="006520DA"/>
    <w:rsid w:val="00652414"/>
    <w:rsid w:val="0066087C"/>
    <w:rsid w:val="00665D96"/>
    <w:rsid w:val="00672C67"/>
    <w:rsid w:val="006733B9"/>
    <w:rsid w:val="006777F4"/>
    <w:rsid w:val="00680C37"/>
    <w:rsid w:val="0068235A"/>
    <w:rsid w:val="00685943"/>
    <w:rsid w:val="00691F14"/>
    <w:rsid w:val="00693D54"/>
    <w:rsid w:val="00695B4B"/>
    <w:rsid w:val="006A242C"/>
    <w:rsid w:val="006A3E01"/>
    <w:rsid w:val="006A4842"/>
    <w:rsid w:val="006A5F11"/>
    <w:rsid w:val="006B17AF"/>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1A8A"/>
    <w:rsid w:val="00862373"/>
    <w:rsid w:val="008702C7"/>
    <w:rsid w:val="008814B7"/>
    <w:rsid w:val="00882EDF"/>
    <w:rsid w:val="008855D8"/>
    <w:rsid w:val="00885B43"/>
    <w:rsid w:val="00885EDD"/>
    <w:rsid w:val="00891909"/>
    <w:rsid w:val="0089196E"/>
    <w:rsid w:val="00894546"/>
    <w:rsid w:val="008956AE"/>
    <w:rsid w:val="008962B9"/>
    <w:rsid w:val="008B0A5A"/>
    <w:rsid w:val="008B27AB"/>
    <w:rsid w:val="008B474A"/>
    <w:rsid w:val="008B4752"/>
    <w:rsid w:val="008C0F7F"/>
    <w:rsid w:val="008C19A0"/>
    <w:rsid w:val="008C5F52"/>
    <w:rsid w:val="008C6FC6"/>
    <w:rsid w:val="008D1294"/>
    <w:rsid w:val="008D4748"/>
    <w:rsid w:val="008D493B"/>
    <w:rsid w:val="008E15CC"/>
    <w:rsid w:val="008E5F67"/>
    <w:rsid w:val="008E7EF2"/>
    <w:rsid w:val="008F070C"/>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A39F1"/>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9F7A88"/>
    <w:rsid w:val="00A0033D"/>
    <w:rsid w:val="00A03EC8"/>
    <w:rsid w:val="00A0604C"/>
    <w:rsid w:val="00A11B0D"/>
    <w:rsid w:val="00A120BD"/>
    <w:rsid w:val="00A176AA"/>
    <w:rsid w:val="00A205D5"/>
    <w:rsid w:val="00A22810"/>
    <w:rsid w:val="00A239B4"/>
    <w:rsid w:val="00A23D5F"/>
    <w:rsid w:val="00A25AFF"/>
    <w:rsid w:val="00A32DC9"/>
    <w:rsid w:val="00A33349"/>
    <w:rsid w:val="00A33FE6"/>
    <w:rsid w:val="00A44D43"/>
    <w:rsid w:val="00A452D2"/>
    <w:rsid w:val="00A470EC"/>
    <w:rsid w:val="00A50C4A"/>
    <w:rsid w:val="00A50F78"/>
    <w:rsid w:val="00A51224"/>
    <w:rsid w:val="00A5755C"/>
    <w:rsid w:val="00A60453"/>
    <w:rsid w:val="00A63E56"/>
    <w:rsid w:val="00A6638D"/>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2083B"/>
    <w:rsid w:val="00B30486"/>
    <w:rsid w:val="00B31BA3"/>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1D2F"/>
    <w:rsid w:val="00B867D1"/>
    <w:rsid w:val="00B92977"/>
    <w:rsid w:val="00B92987"/>
    <w:rsid w:val="00B9437F"/>
    <w:rsid w:val="00B96073"/>
    <w:rsid w:val="00B962B5"/>
    <w:rsid w:val="00B968F0"/>
    <w:rsid w:val="00B96DB3"/>
    <w:rsid w:val="00BA2D4B"/>
    <w:rsid w:val="00BA3000"/>
    <w:rsid w:val="00BA3FBD"/>
    <w:rsid w:val="00BA7F8D"/>
    <w:rsid w:val="00BB48CE"/>
    <w:rsid w:val="00BB4CED"/>
    <w:rsid w:val="00BB57BA"/>
    <w:rsid w:val="00BB67B3"/>
    <w:rsid w:val="00BC3CDC"/>
    <w:rsid w:val="00BC4382"/>
    <w:rsid w:val="00BC5D5E"/>
    <w:rsid w:val="00BC6D9B"/>
    <w:rsid w:val="00BC7D69"/>
    <w:rsid w:val="00BC7FC3"/>
    <w:rsid w:val="00BD12DC"/>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126D"/>
    <w:rsid w:val="00C35EEA"/>
    <w:rsid w:val="00C40F18"/>
    <w:rsid w:val="00C41F0D"/>
    <w:rsid w:val="00C42F38"/>
    <w:rsid w:val="00C5033A"/>
    <w:rsid w:val="00C50B8F"/>
    <w:rsid w:val="00C5119F"/>
    <w:rsid w:val="00C525DF"/>
    <w:rsid w:val="00C52DB2"/>
    <w:rsid w:val="00C546DD"/>
    <w:rsid w:val="00C54918"/>
    <w:rsid w:val="00C553C3"/>
    <w:rsid w:val="00C64A12"/>
    <w:rsid w:val="00C650DE"/>
    <w:rsid w:val="00C66303"/>
    <w:rsid w:val="00C66BB9"/>
    <w:rsid w:val="00C7017C"/>
    <w:rsid w:val="00C73986"/>
    <w:rsid w:val="00C7746B"/>
    <w:rsid w:val="00C77C77"/>
    <w:rsid w:val="00C77DEC"/>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22C"/>
    <w:rsid w:val="00CC263F"/>
    <w:rsid w:val="00CD0028"/>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3C6"/>
    <w:rsid w:val="00DB3E9E"/>
    <w:rsid w:val="00DB591E"/>
    <w:rsid w:val="00DC30C9"/>
    <w:rsid w:val="00DC7D36"/>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2DE8"/>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512"/>
    <w:rsid w:val="00FB0967"/>
    <w:rsid w:val="00FB2B52"/>
    <w:rsid w:val="00FB3455"/>
    <w:rsid w:val="00FB5138"/>
    <w:rsid w:val="00FC00A0"/>
    <w:rsid w:val="00FC031C"/>
    <w:rsid w:val="00FD112F"/>
    <w:rsid w:val="00FD1419"/>
    <w:rsid w:val="00FD65FB"/>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98B4DC8"/>
    <w:rsid w:val="3A15477F"/>
    <w:rsid w:val="3A242466"/>
    <w:rsid w:val="3C47334E"/>
    <w:rsid w:val="3CB26D1E"/>
    <w:rsid w:val="3EF07F7A"/>
    <w:rsid w:val="40492C2C"/>
    <w:rsid w:val="40AD53DD"/>
    <w:rsid w:val="43ED3C40"/>
    <w:rsid w:val="495323ED"/>
    <w:rsid w:val="4AF3601A"/>
    <w:rsid w:val="4BA315C9"/>
    <w:rsid w:val="4CC6446A"/>
    <w:rsid w:val="4E7B4170"/>
    <w:rsid w:val="53497600"/>
    <w:rsid w:val="544D740E"/>
    <w:rsid w:val="55AE0FCF"/>
    <w:rsid w:val="58FE18D5"/>
    <w:rsid w:val="594914BB"/>
    <w:rsid w:val="5960285F"/>
    <w:rsid w:val="5CA82CD1"/>
    <w:rsid w:val="5FCE09A6"/>
    <w:rsid w:val="60ED5F11"/>
    <w:rsid w:val="64122457"/>
    <w:rsid w:val="646426D5"/>
    <w:rsid w:val="64BC4F31"/>
    <w:rsid w:val="64C3416F"/>
    <w:rsid w:val="6624577F"/>
    <w:rsid w:val="67161F83"/>
    <w:rsid w:val="68817BAC"/>
    <w:rsid w:val="68DB6F84"/>
    <w:rsid w:val="6A1706CF"/>
    <w:rsid w:val="6A563FBC"/>
    <w:rsid w:val="6A7E3167"/>
    <w:rsid w:val="6D625405"/>
    <w:rsid w:val="6D873407"/>
    <w:rsid w:val="6DA24319"/>
    <w:rsid w:val="6EA81B75"/>
    <w:rsid w:val="6FE35A27"/>
    <w:rsid w:val="72167982"/>
    <w:rsid w:val="739B783A"/>
    <w:rsid w:val="753F4FED"/>
    <w:rsid w:val="75536D10"/>
    <w:rsid w:val="75B30C82"/>
    <w:rsid w:val="76B57CE1"/>
    <w:rsid w:val="770E7892"/>
    <w:rsid w:val="77980A6E"/>
    <w:rsid w:val="77F71564"/>
    <w:rsid w:val="792A54A4"/>
    <w:rsid w:val="79F159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qFormat="1"/>
    <w:lsdException w:name="caption" w:semiHidden="1" w:unhideWhenUsed="1" w:qFormat="1"/>
    <w:lsdException w:name="page number" w:qFormat="1"/>
    <w:lsdException w:name="Title" w:qFormat="1"/>
    <w:lsdException w:name="Default Paragraph Font"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7A8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sid w:val="009F7A88"/>
    <w:rPr>
      <w:sz w:val="18"/>
      <w:szCs w:val="18"/>
    </w:rPr>
  </w:style>
  <w:style w:type="paragraph" w:styleId="a4">
    <w:name w:val="footer"/>
    <w:basedOn w:val="a"/>
    <w:link w:val="Char"/>
    <w:qFormat/>
    <w:rsid w:val="009F7A88"/>
    <w:pPr>
      <w:tabs>
        <w:tab w:val="center" w:pos="4153"/>
        <w:tab w:val="right" w:pos="8306"/>
      </w:tabs>
      <w:snapToGrid w:val="0"/>
      <w:jc w:val="left"/>
    </w:pPr>
    <w:rPr>
      <w:sz w:val="18"/>
      <w:szCs w:val="18"/>
    </w:rPr>
  </w:style>
  <w:style w:type="paragraph" w:styleId="a5">
    <w:name w:val="header"/>
    <w:basedOn w:val="a"/>
    <w:link w:val="Char0"/>
    <w:qFormat/>
    <w:rsid w:val="009F7A88"/>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9F7A8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rsid w:val="009F7A88"/>
  </w:style>
  <w:style w:type="character" w:styleId="a8">
    <w:name w:val="Hyperlink"/>
    <w:qFormat/>
    <w:rsid w:val="009F7A88"/>
    <w:rPr>
      <w:color w:val="0000FF"/>
      <w:u w:val="single"/>
    </w:rPr>
  </w:style>
  <w:style w:type="character" w:customStyle="1" w:styleId="1">
    <w:name w:val="已访问的超链接1"/>
    <w:qFormat/>
    <w:rsid w:val="009F7A88"/>
    <w:rPr>
      <w:color w:val="800080"/>
      <w:u w:val="single"/>
    </w:rPr>
  </w:style>
  <w:style w:type="character" w:customStyle="1" w:styleId="Char0">
    <w:name w:val="页眉 Char"/>
    <w:link w:val="a5"/>
    <w:qFormat/>
    <w:rsid w:val="009F7A88"/>
    <w:rPr>
      <w:kern w:val="2"/>
      <w:sz w:val="18"/>
      <w:szCs w:val="18"/>
    </w:rPr>
  </w:style>
  <w:style w:type="character" w:customStyle="1" w:styleId="Char">
    <w:name w:val="页脚 Char"/>
    <w:link w:val="a4"/>
    <w:qFormat/>
    <w:rsid w:val="009F7A88"/>
    <w:rPr>
      <w:kern w:val="2"/>
      <w:sz w:val="18"/>
      <w:szCs w:val="18"/>
    </w:rPr>
  </w:style>
  <w:style w:type="paragraph" w:customStyle="1" w:styleId="21">
    <w:name w:val="目录 21"/>
    <w:basedOn w:val="a"/>
    <w:next w:val="a"/>
    <w:uiPriority w:val="39"/>
    <w:qFormat/>
    <w:rsid w:val="009F7A88"/>
    <w:pPr>
      <w:tabs>
        <w:tab w:val="right" w:leader="dot" w:pos="8494"/>
      </w:tabs>
      <w:spacing w:line="560" w:lineRule="exact"/>
      <w:ind w:left="210"/>
      <w:jc w:val="left"/>
    </w:pPr>
    <w:rPr>
      <w:rFonts w:ascii="仿宋_GB2312" w:eastAsia="仿宋_GB2312" w:hAnsi="Calibri" w:cs="Calibri"/>
      <w:smallCaps/>
      <w:sz w:val="28"/>
      <w:szCs w:val="28"/>
    </w:rPr>
  </w:style>
  <w:style w:type="paragraph" w:customStyle="1" w:styleId="11">
    <w:name w:val="目录 11"/>
    <w:basedOn w:val="a"/>
    <w:next w:val="a"/>
    <w:uiPriority w:val="39"/>
    <w:qFormat/>
    <w:rsid w:val="009F7A88"/>
    <w:pPr>
      <w:tabs>
        <w:tab w:val="left" w:pos="840"/>
        <w:tab w:val="right" w:leader="dot" w:pos="8296"/>
      </w:tabs>
      <w:spacing w:line="560" w:lineRule="exact"/>
      <w:jc w:val="left"/>
    </w:pPr>
    <w:rPr>
      <w:rFonts w:ascii="仿宋_GB2312" w:eastAsia="仿宋_GB2312" w:hAnsi="新宋体" w:cs="Calibri"/>
      <w:b/>
      <w:bCs/>
      <w:caps/>
      <w:sz w:val="28"/>
      <w:szCs w:val="28"/>
    </w:rPr>
  </w:style>
  <w:style w:type="paragraph" w:customStyle="1" w:styleId="CharCharCharCharCharCharChar">
    <w:name w:val="Char Char Char Char Char Char Char"/>
    <w:basedOn w:val="a"/>
    <w:qFormat/>
    <w:rsid w:val="009F7A88"/>
    <w:rPr>
      <w:szCs w:val="21"/>
    </w:rPr>
  </w:style>
  <w:style w:type="paragraph" w:customStyle="1" w:styleId="10">
    <w:name w:val="列出段落1"/>
    <w:basedOn w:val="a"/>
    <w:uiPriority w:val="34"/>
    <w:qFormat/>
    <w:rsid w:val="009F7A88"/>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8</Pages>
  <Words>565</Words>
  <Characters>3227</Characters>
  <Application>Microsoft Office Word</Application>
  <DocSecurity>0</DocSecurity>
  <Lines>26</Lines>
  <Paragraphs>7</Paragraphs>
  <ScaleCrop>false</ScaleCrop>
  <Company>czj</Company>
  <LinksUpToDate>false</LinksUpToDate>
  <CharactersWithSpaces>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关于进行本市部门整体支出</dc:title>
  <dc:creator>傅海英</dc:creator>
  <cp:lastModifiedBy>user</cp:lastModifiedBy>
  <cp:revision>16</cp:revision>
  <cp:lastPrinted>2026-03-31T04:10:00Z</cp:lastPrinted>
  <dcterms:created xsi:type="dcterms:W3CDTF">2026-03-31T05:05:00Z</dcterms:created>
  <dcterms:modified xsi:type="dcterms:W3CDTF">2026-10-08T01:56:00Z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0288A9E887924CEA9571E028A3E3836E_13</vt:lpwstr>
  </property>
  <property fmtid="{D5CDD505-2E9C-101B-9397-08002B2CF9AE}" pid="4" name="KSOTemplateDocerSaveRecord">
    <vt:lpwstr>eyJoZGlkIjoiMmVmMTQ4NTZkNTIwMmU5ZDBhYTZhYjI1NWVjNGI1Y2IiLCJ1c2VySWQiOiIyMjg1MzQ1OTUifQ==</vt:lpwstr>
  </property>
</Properties>
</file>