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融合中心水电费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苏州市企业服务中心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60</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60</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60</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60</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融合中心水电费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=5858.6平方米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5858.6平方米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展厅运营及日常办公</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正常</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供电、供水及时性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水电能耗</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达标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对日常办公及展厅运营的保障</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苏州市智能制造融合发展中心建筑面积5858.6平方米，一楼二楼为展厅，有大量的电器设备等；苏州市企业服务中心及融合中心运营管理团队工作人员需要使用各种电脑等设备；夏冬季的空调运行电费等。</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保障水电的稳定正常供应，保障展厅正常接待参观团队，保障本单位正常开展工作，通过稳定的工作环境提升参观体验。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保障水电的稳定正常供应，保障展厅正常接待参观团队，保障本单位正常开展工作，通过稳定的工作环境提升参观体验。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融合中心倡导节约节能减排，合理控制能耗。在全年接待参观的情况下，2025年度累计用电约81.27万度，年度支付电费约59.82万元，其中由于每年末两个月账单至次年产生，故每年末存在部分水电费预付，实际差异于2026年度的水电费支付时调整。</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融合中心水电的供应正常稳定，充分保障展厅正常接待参观团队，保障本单位正常开展工作，通过稳定的工作环境提升参观体验。</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