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融合中心展厅维护专项费用</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苏州市企业服务中心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3.52</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26.48</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3.52</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3.52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26.48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融合中心展厅维护专项费用</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26.48</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88.25%</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展厅维护面积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=5858.6平方米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5858.6平方米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展陈设备完好程度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完好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维修响应及时性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xml:space="preserve"> 对降低故障发生率、大修几率的影响程度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对保障机构持续稳定运转、持续发挥职能的改善或提升程度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67.3</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2023年8月14日，融合中心三年质保到期，融合中心展厅维护专项费用用于支付展厅质保到期后每年的设备维修、内容更新、系统升级等费用。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进行融合中心展陈设备日常维修工作，保障其正常运转；并根据实际情况进行多媒体内容、平面美工等更新，保障展陈内容符合当前需求。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进行融合中心展陈设备日常维修工作，保障其正常运转；并根据实际情况进行多媒体内容、平面美工等更新，保障展陈内容符合当前需求。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保障展厅在全年度日常的运营维护，设备发生故障后及时维修或更换，并满足部分展项更新调整需求。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保障展厅在全年度日常的运营维护，设备发生故障后及时维修或更换，并满足部分展项更新调整需求。</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