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委托业务费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苏州市企业服务中心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59.68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59.68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52.73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59.68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6.95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52.73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52.73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59.68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企业政策辅导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28.8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展厅内容更新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其他委托业务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5.88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物业维修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11.61%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开展企业政策辅导场次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&gt;=24场次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24场次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完成修理养护的设施数量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&gt;=20个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20个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信息系统故障修复响应时间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对保障各项业务工作正常开展的影响或改善程度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对单位履职、促进事业发展的持续影响程度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64</w:t>
            </w:r>
          </w:p>
        </w:tc>
      </w:tr>
    </w:tbl>
    <w:p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主要包括企业政策辅导、档案管理、年度财务审计、零星物业维修等事项。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4" w:hRule="atLeast"/>
        </w:trPr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开展企业政策辅导，档案管理符合法律法规，完成各类软硬件设施维修维护数量达到目标值，提高融合中心运营管理效率，提高本单位日常运营管理水平。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开展企业政策辅导，有效促进企业发展；档案管理符合法律法规。完成各类软硬件设施维修维护数量达到目标值，维修合格率达标，能够改善融合中心展厅环境，提高融合中心运营管理效率，提高本单位日常运营管理水平。维护本单位的信息网络、软硬件等的正常运行，保证每周进行必要的维修检查，并做好相应记录。通过维护维修，提升信息系统、及软硬件设备的稳定性。各项委托业务及时完成，并通过委托业务有效提升单位经营管理水平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开展AI+业财培训辅导、供应链对接项目、软件赋能生态项目、专精特新高质量成长项</w:t>
            </w:r>
            <w:bookmarkStart w:id="0" w:name="_GoBack"/>
            <w:bookmarkEnd w:id="0"/>
            <w:r>
              <w:rPr>
                <w:rFonts w:hint="eastAsia" w:cs="Arial"/>
                <w:color w:val="000000"/>
                <w:sz w:val="22"/>
              </w:rPr>
              <w:t>目，整理归档2025年各类文书档案，开展2024年度财政拨款收支专项审计，维修打印机，设计并制作“政策明白卡”。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AI+业财培训辅导举办4场活动、供应链对接项目举办6场活动、软件赋能生态项目举办4场活动、专精特新高质量成长项目举办10场活动，助力企业高质量成长；中心档案管理规范有序，为业务开展提供支撑；专项审计充分展现中心服务水平，入选2025年度江苏省制造强省建设专项资金拟安排服务体系建设项目；打印机维修提高了资产利用率，政策明白卡让政策直达企业，提高了企业服务质量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35D651E9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1942</Words>
  <Characters>2174</Characters>
  <Lines>10</Lines>
  <Paragraphs>3</Paragraphs>
  <TotalTime>4</TotalTime>
  <ScaleCrop>false</ScaleCrop>
  <LinksUpToDate>false</LinksUpToDate>
  <CharactersWithSpaces>2174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zq</cp:lastModifiedBy>
  <dcterms:modified xsi:type="dcterms:W3CDTF">2026-03-27T01:41:33Z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2052-11.1.0.11365</vt:lpwstr>
  </property>
  <property fmtid="{D5CDD505-2E9C-101B-9397-08002B2CF9AE}" pid="4" name="ICV">
    <vt:lpwstr>9F669C4FED13413589140FF1E65A5D7A_12</vt:lpwstr>
  </property>
</Properties>
</file>