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展厅运营管理费用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苏州市企业服务中心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155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155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155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154.8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.2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154.8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展厅运营管理费用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154.8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99.87%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参观数量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&gt;=400场次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400场次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经费支出合规性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严格执行相关财经法规、制度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经费支出时效性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对保障各项业务工作正常开展，促进公共服务效率的提升或改善程度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公众满意度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&gt;=95%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99.92%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71.95</w:t>
            </w:r>
          </w:p>
        </w:tc>
      </w:tr>
    </w:tbl>
    <w:p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追加追减数-财政拨款数；计划结余数=财政拨款数-实际支付数=计划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2．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“决策”、“过程”类指标每个指标的权重值固定，“产出”、“效益”、“满意度”指标权重值是根据指标数量将每类指标总分值分摊到各项指标，即各项指标分值=每类指标总分值/该类指标个数。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3．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各项数据采集的时间节点均为2025年12月31日。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4．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定性指标根据实际完成情况按照100%、80%、60%、40%、20%、0六级权重予以评分。定量指标评分规则：“产出”类每项指标的实际完成值对应预期设定的目标值，完成100%～130%得权重值满分，超过130%的每超过1%扣权重值1%；“决策”、“过程”、“满意度”类指标以100%为满分；“效益”类每项指标的实际完成值对应预期设定的目标值，完成100%～200%得权重值满分，超过200%的每超过1%扣权重值1%；五类指标的所有指标实际完成值每低于目标值1个百分点相应扣减权重值的5%；某项指标无法提供具体数值，且无说明，得0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融合中心一楼、二楼展厅面积共3860平方米，委托专业团队进行运营，负责展厅运营、管理、布展、设备维护等。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高质量接待党政代表、企事业团队参观，项目经费支出合规合法及时，参观满意度较高。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高质量接待党政代表、企事业团队参观，项目经费支出合规合法及时，参观满意度较高。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2025年展厅运营服务团队7人，项目经理1人，综合运营服务1人，展厅接待2人，设备维保3人，已接待</w:t>
            </w:r>
            <w:r>
              <w:rPr>
                <w:rFonts w:hint="eastAsia" w:cs="Arial"/>
                <w:color w:val="000000"/>
                <w:sz w:val="22"/>
                <w:lang w:val="en-US" w:eastAsia="zh-CN"/>
              </w:rPr>
              <w:t>400</w:t>
            </w:r>
            <w:r>
              <w:rPr>
                <w:rFonts w:hint="eastAsia" w:cs="Arial"/>
                <w:color w:val="000000"/>
                <w:sz w:val="22"/>
              </w:rPr>
              <w:t>多场次参访，维修144件，鼠标256套。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按采购文件以及合同约定的技术规范、标准进行实施，按期、保质保量完成项目的实施工</w:t>
            </w:r>
            <w:bookmarkStart w:id="0" w:name="_GoBack"/>
            <w:bookmarkEnd w:id="0"/>
            <w:r>
              <w:rPr>
                <w:rFonts w:hint="eastAsia" w:cs="Arial"/>
                <w:color w:val="000000"/>
                <w:sz w:val="22"/>
              </w:rPr>
              <w:t>作，通过验收。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03D97F58"/>
    <w:rsid w:val="2F5B2A08"/>
    <w:rsid w:val="5AE70A1F"/>
    <w:rsid w:val="70126D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3</Pages>
  <Words>1366</Words>
  <Characters>1571</Characters>
  <Lines>10</Lines>
  <Paragraphs>3</Paragraphs>
  <TotalTime>1</TotalTime>
  <ScaleCrop>false</ScaleCrop>
  <LinksUpToDate>false</LinksUpToDate>
  <CharactersWithSpaces>1571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zq</cp:lastModifiedBy>
  <dcterms:modified xsi:type="dcterms:W3CDTF">2026-03-27T01:45:40Z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2052-11.1.0.11365</vt:lpwstr>
  </property>
  <property fmtid="{D5CDD505-2E9C-101B-9397-08002B2CF9AE}" pid="4" name="ICV">
    <vt:lpwstr>9F669C4FED13413589140FF1E65A5D7A_12</vt:lpwstr>
  </property>
</Properties>
</file>