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C1FF9">
      <w:pPr>
        <w:rPr>
          <w:rFonts w:eastAsia="仿宋_GB2312"/>
          <w:sz w:val="30"/>
        </w:rPr>
      </w:pPr>
    </w:p>
    <w:p w14:paraId="51423AE2">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5049634B">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4</w:t>
      </w:r>
      <w:r>
        <w:rPr>
          <w:rFonts w:hint="eastAsia" w:ascii="黑体" w:eastAsia="黑体"/>
          <w:sz w:val="32"/>
          <w:szCs w:val="32"/>
        </w:rPr>
        <w:t>年度）</w:t>
      </w:r>
    </w:p>
    <w:p w14:paraId="670EE39C">
      <w:pPr>
        <w:spacing w:line="360" w:lineRule="auto"/>
        <w:jc w:val="center"/>
        <w:rPr>
          <w:rFonts w:eastAsia="仿宋_GB2312"/>
          <w:sz w:val="30"/>
        </w:rPr>
      </w:pPr>
    </w:p>
    <w:p w14:paraId="1DAB900E">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苏州市工业和信息化局</w:t>
      </w:r>
    </w:p>
    <w:p w14:paraId="574A4BB9">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780E7978">
      <w:pPr>
        <w:spacing w:line="360" w:lineRule="auto"/>
        <w:ind w:firstLine="480" w:firstLineChars="200"/>
        <w:rPr>
          <w:rFonts w:hint="eastAsia" w:ascii="宋体" w:hAnsi="宋体" w:cs="宋体"/>
          <w:sz w:val="24"/>
        </w:rPr>
      </w:pPr>
      <w:r>
        <w:rPr>
          <w:rFonts w:hint="eastAsia" w:ascii="宋体" w:hAnsi="宋体" w:cs="宋体"/>
          <w:sz w:val="24"/>
        </w:rPr>
        <w:t>2024年，全市工信系统深入贯彻落实市委市政府和省工信厅工作部署，全面落实全市推进新型工业化工作会议精神，锚定“345”工作目标，进一步全面深化工业和信息化领域改革，扎实推动制造业高质量发展，较好完成了全年工作任务。</w:t>
      </w:r>
    </w:p>
    <w:p w14:paraId="1B790A65">
      <w:pPr>
        <w:numPr>
          <w:ilvl w:val="0"/>
          <w:numId w:val="1"/>
        </w:numPr>
        <w:spacing w:line="360" w:lineRule="auto"/>
        <w:ind w:firstLine="480" w:firstLineChars="200"/>
        <w:rPr>
          <w:rFonts w:hint="eastAsia" w:ascii="宋体" w:hAnsi="宋体" w:cs="宋体"/>
          <w:sz w:val="24"/>
          <w:lang w:val="en-US" w:eastAsia="zh-CN"/>
        </w:rPr>
      </w:pPr>
      <w:r>
        <w:rPr>
          <w:rFonts w:hint="eastAsia" w:ascii="宋体" w:hAnsi="宋体" w:cs="宋体"/>
          <w:sz w:val="24"/>
        </w:rPr>
        <w:t>工业经济运行平稳向好。紧紧围绕“前高中稳全年进”目标，持续壮大工业经济基本盘，有力支撑全市GDP增长。一是工业经济运行稳中有进。2024年全市完成规上工业总产值47017亿元，增长4.7%，总量保持全国第二；规上工业增加值增长9.2%，工业增加值对全市经济增长的贡献率达54.9%。二是工业投资实现平稳增长。2024年全市工业投资完成2122亿元，增长12.8%；全市增资扩产项目共计1436个，完成投资1189.1亿元。获评国家首批制造业新型技术改造城市试点，首批1.5亿元奖补资金已下达企业。17个项目获2024年超长期特别国债工业重点领域设备更新改造补助资金4.03亿元。三是企业效益保持增长。2024年全市规上工业企业营业收入47890.9亿元，增长5%，增速排名全省第三；利润总额2583.5亿元，增长13%，增速排名全省第一。</w:t>
      </w:r>
      <w:r>
        <w:rPr>
          <w:rFonts w:hint="eastAsia" w:ascii="宋体" w:hAnsi="宋体" w:cs="宋体"/>
          <w:sz w:val="24"/>
          <w:lang w:val="en-US" w:eastAsia="zh-CN"/>
        </w:rPr>
        <w:t xml:space="preserve">    </w:t>
      </w:r>
    </w:p>
    <w:p w14:paraId="472449B1">
      <w:pPr>
        <w:numPr>
          <w:ilvl w:val="0"/>
          <w:numId w:val="1"/>
        </w:numPr>
        <w:spacing w:line="360" w:lineRule="auto"/>
        <w:ind w:firstLine="480" w:firstLineChars="200"/>
        <w:rPr>
          <w:rFonts w:ascii="宋体" w:hAnsi="宋体" w:cs="宋体"/>
          <w:sz w:val="24"/>
        </w:rPr>
      </w:pPr>
      <w:r>
        <w:rPr>
          <w:rFonts w:hint="eastAsia" w:ascii="宋体" w:hAnsi="宋体" w:cs="宋体"/>
          <w:sz w:val="24"/>
        </w:rPr>
        <w:t>新型工业化迈出坚实步伐。市委市政府连续两年以“新年第一会”形式召开全市新型工业化推进工作会议，“苏州智造”强基提质行动入选2024年城市制造业高质量发展实践案例。一是加强组织领导和工作统筹。成立市推进新型工业化工作小组，由市委市政府主要领导担任双组长，全面统筹推进新型工业化工作。印发《加快推进新型工业化的实施方案》，提出苏州发展新型工业化主要思路目标和重点任务。二是实施“苏州智造”强基提质行动。印发《新型工业化“苏州智造”强基提质百项工作清单（2024年）》，定期跟踪任务落实进展，梳理推进情况、存在的问题、重要指标数据等，发布新型工业化工作专报26期。三是争创国家新型工业化示范区。积极对上汇报，参加工信部新型工业化示范区工作座谈会，向市政府呈报国家新型工业化示范区申报方案编制工作请示，提前开展有关工作。</w:t>
      </w:r>
    </w:p>
    <w:p w14:paraId="110F541B">
      <w:pPr>
        <w:numPr>
          <w:ilvl w:val="0"/>
          <w:numId w:val="1"/>
        </w:numPr>
        <w:spacing w:line="360" w:lineRule="auto"/>
        <w:ind w:firstLine="480" w:firstLineChars="200"/>
        <w:rPr>
          <w:rFonts w:ascii="宋体" w:hAnsi="宋体" w:cs="宋体"/>
          <w:sz w:val="24"/>
        </w:rPr>
      </w:pPr>
      <w:r>
        <w:rPr>
          <w:rFonts w:hint="eastAsia" w:ascii="宋体" w:hAnsi="宋体" w:cs="宋体"/>
          <w:sz w:val="24"/>
        </w:rPr>
        <w:t>重点产业链高质量发展。聚焦“1030”产业体系，认真落实市委“5+5”工作体系重点任务，切实推动重大产业项目建设提速增效。一是深化“组长+链主”工作机制。建立产业链发展促进工作组，每条产业链由市级领导担任组长，协调推动产业链高质量发展。组建产业链工作专班，开展“专班服务日”活动，定期赴县区现场集中办公。出台培育壮大“链主”企业工作意见，累计推动272家企业进入“链主”企业培育库。二是推动传统产业转型升级。印发年度传统产业焕新工作实施计划，17家企业获省级传统产业焕新奖励资金1840万元。发布化工产业绿色高质量发展三年行动计划，推动化工企业老旧装置设备改造，新增认定化工重点监测点7家。5个品牌入选首批中国消费名品名单，居全省第一。3家企业入选工信部“数字三品”应用场景典型案例。三是优势产业发展质效提升。推进集成电路产业链融合创新，组建碳化硅产业联盟，成立市半导体行业协会。出台全链条支持生物医药产业“筑峰强链”若干措施，加速构建“1123”企业培育体系。新增高端科技仪器、苏南特钢材料和长三角大飞机等3个国家先进制造业集群，累计6个，居全省第一。吴江区光纤光缆集群入选国家级中小企业特色产业集群，新增省中小企业特色产业集群5个。获评国家首批智能网联汽车“车路云一体化”应用试点城市。四是加强产业链合作对接。全年举办25场“1030产业沙龙”，参会人员超4000人，推动1383家企业、258家高校院所、56家投融资机构实现对接。开展工业母机产需对接系列活动，召开全市电梯行业大规模设备更新对接会。举办第六届全球智能驾驶大会、“丝绸苏州2024”展览会等活动。</w:t>
      </w:r>
    </w:p>
    <w:p w14:paraId="2E92B6D8">
      <w:pPr>
        <w:numPr>
          <w:ilvl w:val="0"/>
          <w:numId w:val="1"/>
        </w:numPr>
        <w:spacing w:line="360" w:lineRule="auto"/>
        <w:ind w:firstLine="480" w:firstLineChars="200"/>
        <w:rPr>
          <w:rFonts w:ascii="宋体" w:hAnsi="宋体" w:cs="宋体"/>
          <w:sz w:val="24"/>
        </w:rPr>
      </w:pPr>
      <w:r>
        <w:rPr>
          <w:rFonts w:hint="eastAsia" w:ascii="宋体" w:hAnsi="宋体" w:cs="宋体"/>
          <w:sz w:val="24"/>
        </w:rPr>
        <w:t>产业创新能力持续提升。一是创新载体建设不断加强。出台《苏州市创新领军企业先进技术研究院实施意见》，新增国家企业技术中心4家，省级企业技术中心193家。持续推进国家先进功能纤维创新中心建设，2家省级制造业创新中心获批省创新能力建设项目。苏州实验室国家新材料测试评价平台（电子化学品行业中心）获批建设，新增工信部第六批产业技术基础公共服务平台2家，8家平台纳入省级创新中心培育库。二是创新成果推广力度加大。高效运行长三角转化中心，全面启动市场化改革，实现全市10个板块孵化基地全覆盖。成功召开第二届全国先进技术成果转化大会，汇聚1180家参展单位，吸引观展人员超5万人次，推动在苏成果转化落地（合作）项目82个。新增省首台（套）重大装备24个、首批次新材料3个、首版次软件产品29款，257项技术（产品）进入江苏省重点推广应用的新技术新产品目录。三是工业设计发展步伐加快。出台《苏州市进一步促进工业设计发展的实施意见》，推动中国工业设计协会业务总部落地苏州，推动成立苏州市工业设计商会。11项产品获评省紫金奖工业设计大赛奖项。举办首届青苔国际设计节、青苔杯国际工业设计大赛。</w:t>
      </w:r>
    </w:p>
    <w:p w14:paraId="24C5F8E1">
      <w:pPr>
        <w:numPr>
          <w:ilvl w:val="0"/>
          <w:numId w:val="1"/>
        </w:numPr>
        <w:spacing w:line="360" w:lineRule="auto"/>
        <w:ind w:firstLine="480" w:firstLineChars="200"/>
        <w:rPr>
          <w:rFonts w:ascii="宋体" w:hAnsi="宋体" w:cs="宋体"/>
          <w:sz w:val="24"/>
        </w:rPr>
      </w:pPr>
      <w:r>
        <w:rPr>
          <w:rFonts w:hint="eastAsia" w:ascii="宋体" w:hAnsi="宋体" w:cs="宋体"/>
          <w:sz w:val="24"/>
        </w:rPr>
        <w:t>实数深度融合进程加快。一是智改数转网联提速进阶。启动智改数转网联新一轮三年行动计划，保持规上工业企业动态全覆盖。新增省智能工厂33家、省智能车间224家、省智改数转网联标杆企业1家。加快推进中小企业数字化转型城市试点建设，累计帮助2.7万家中小企业完成数字化能力评估。亨通光电获评工信部“数字领航”企业。新增国家级工业互联网试点示范项目7个、省级工业互联网平台8家、省级工业信息安全防护星级企业（平台）15家。二是新型基础设施底座不断夯实。获批建设国家级互联网骨干直联点，获评全国首批“5G+工业互联网”融合应用试点城市、5G应用“扬帆”行动重点城市、工业和信息化领域北斗规模应用试点城市。新建5G基站1.36万个，入库工信部5G工厂项目291个，新增全国5G工厂名录项目23个，新增省级星级上云企业1972家。三是软件和信息技术服务业不断壮大。2024年全市软件和信息服务业营收2486亿元，增长10.8%。通过中国软件名城评估，出台《苏州市加快推动软件产业高质量发展的若干政策措施》，新增国家重点软件企业10家、省软件名园2家，打造省级信创优秀解决方案23个。启用苏州工业软件应用创新中心，成立苏州市工业软件应用创新发展联合会，加速推进23个典型项目建设，打造12个典型应用场景。</w:t>
      </w:r>
    </w:p>
    <w:p w14:paraId="2B113105">
      <w:pPr>
        <w:numPr>
          <w:ilvl w:val="0"/>
          <w:numId w:val="1"/>
        </w:numPr>
        <w:spacing w:line="360" w:lineRule="auto"/>
        <w:ind w:firstLine="480" w:firstLineChars="200"/>
        <w:rPr>
          <w:rFonts w:ascii="宋体" w:hAnsi="宋体" w:cs="宋体"/>
          <w:sz w:val="24"/>
        </w:rPr>
      </w:pPr>
      <w:r>
        <w:rPr>
          <w:rFonts w:hint="eastAsia" w:ascii="宋体" w:hAnsi="宋体" w:cs="宋体"/>
          <w:sz w:val="24"/>
        </w:rPr>
        <w:t>人工智能赋能全面启动。推动人工智能赋能新型工业化，深化人工智能技术在制造业全流程融合应用。一是积极对上争取试点。获批建设人工智能赋能新型工业化先导区，推动人工智能场景率先应用。建设人工智能电子信息制造应用基地，为人工智能应用赋能电子信息行业提供共性服务。二是优化产业发展生态。印发人工智能赋能新型工业化先导区实施方案，出台《苏州市关于加快推进“人工智能+制造业”的若干措施》，编制完成“人工智能+制造业”企业应用指南，推进市政府与西门子关于人工智能领域全面战略合作。三是启动工业垂类大模型培育建设。推动42个重点算法通过国家网信办深度合成服务算法备案、5家企业通过国家生成式人工智能服务备案、2个应用项目入选国家人工智能赋能新型工业化典型应用案例。遴选产生3个人工智能大模型应用项目及10个大模型培育企业。</w:t>
      </w:r>
    </w:p>
    <w:p w14:paraId="5F660971">
      <w:pPr>
        <w:numPr>
          <w:ilvl w:val="0"/>
          <w:numId w:val="1"/>
        </w:numPr>
        <w:spacing w:line="360" w:lineRule="auto"/>
        <w:ind w:firstLine="480" w:firstLineChars="200"/>
        <w:rPr>
          <w:rFonts w:ascii="宋体" w:hAnsi="宋体" w:cs="宋体"/>
          <w:sz w:val="24"/>
        </w:rPr>
      </w:pPr>
      <w:r>
        <w:rPr>
          <w:rFonts w:hint="eastAsia" w:ascii="宋体" w:hAnsi="宋体" w:cs="宋体"/>
          <w:sz w:val="24"/>
        </w:rPr>
        <w:t>绿色低碳转型扎实推进。一是打造绿色制造体系。新增国家级绿色工厂16家、绿色工业园区3家、绿色供应链管理企业2家，省级绿色工厂117家、绿色工业园区6家。完成首批224家苏州市3A级绿色工厂建设。印发工业领域及重点行业碳达峰实施方案，启动首批市级“零碳”工厂建设，通报“近零碳”工厂建设成效突出企业19家、“零碳”工厂建设成效突出企业4家。二是深化工业领域节能。开展全市工业企业“节能降耗百日攻坚行动”，推动实施重点技改项目170余个，年等价节能量约35.6万吨标准煤。全年完成国家、省、市三级节能监察223家，向企业提出86条节能技改建议。三是加强绿色低碳宣传。开展工业领域绿色低碳义诊活动，组织39家第三方义诊机构赴各地上门开展绿色低碳诊断。推动苏州工业园区、沙钢集团、立臻科技入选《江苏绿色制造发展成效报告》。四是促进新能源汽车推广应用。全市新增注册登记新能源汽车23.7万辆，渗透率达45.67%。全市公共领域新增充电桩1.049万根。昆山市、张家港市凤凰镇入选国家能源局充电基础设施建设应用推广活动县乡名单。</w:t>
      </w:r>
    </w:p>
    <w:p w14:paraId="72AFC179">
      <w:pPr>
        <w:numPr>
          <w:ilvl w:val="0"/>
          <w:numId w:val="1"/>
        </w:numPr>
        <w:spacing w:line="360" w:lineRule="auto"/>
        <w:ind w:firstLine="480" w:firstLineChars="200"/>
        <w:rPr>
          <w:rFonts w:ascii="宋体" w:hAnsi="宋体" w:cs="宋体"/>
          <w:sz w:val="24"/>
        </w:rPr>
      </w:pPr>
      <w:r>
        <w:rPr>
          <w:rFonts w:hint="eastAsia" w:ascii="宋体" w:hAnsi="宋体" w:cs="宋体"/>
          <w:sz w:val="24"/>
        </w:rPr>
        <w:t>优质企业梯队加速培育。一是发展壮大龙头企业。恒力、盛虹、沙钢入围2024年《财富》世界500强。全市营收超百亿元工业企业（集团）达47家，占全省23.5%，数量位居全省第一。获评2024年中国电子信息百强企业7家，居全省首位。二是培育专精特新企业。新增国家级专精特新“小巨人”企业206家、累计607家，居全国第四。32家企业获评国家支持重点领域“小巨人”项目，新增制造业单项冠军企业10家、省级专精特新中小企业1079家、创新型中小企业2866家，均居全省第一。三是中小企业服务走深走实。设立苏州市“专精特新企业之家”，全年举办11期活动，推动专精特新企业之间协作发展，服务企业565家次。组织开展2024年全国中小企业服务月、“助企直通 企航无忧”企业服务月等相关活动168场。</w:t>
      </w:r>
    </w:p>
    <w:p w14:paraId="414DDE2A">
      <w:pPr>
        <w:numPr>
          <w:ilvl w:val="0"/>
          <w:numId w:val="1"/>
        </w:numPr>
        <w:spacing w:line="360" w:lineRule="auto"/>
        <w:ind w:firstLine="480" w:firstLineChars="200"/>
        <w:rPr>
          <w:rFonts w:ascii="宋体" w:hAnsi="宋体" w:cs="宋体"/>
          <w:sz w:val="24"/>
        </w:rPr>
      </w:pPr>
      <w:r>
        <w:rPr>
          <w:rFonts w:hint="eastAsia" w:ascii="宋体" w:hAnsi="宋体" w:cs="宋体"/>
          <w:sz w:val="24"/>
        </w:rPr>
        <w:t>服务保障质效全面提升。一是建设企业动态感知系统。累计建设105个三级企业服务中心、38个服务站点，组建2473名助企员队伍，服务20489家企业，实现规上工业企业全覆盖。全年召开12期恳谈会，推动103家次企业诉求解决。通过“助企通”收集诉求768件，均实现闭环处办。二是深化土地资源集约利用。出台推进低效工业用地转型三年行动方案，召开全市推进低效工业用地转型工作现场会，全市新开工“工业上楼”项目169个。深入实施“数据得地”，96家企业完成供地，合计供地3552.8亩。三是加大财税支持力度。国家、省、市三级安排专项资金近20亿元支持苏州市工业和信息化相关项目（不含县级市）。落实好先进制造业增值税加计抵减政策，进入增值税加计抵减政策享受名单企业7655家，累计抵减税额78.61亿元，分别占全省34.1%、31%，均居全省首位。四是工信领域安全形势保持平稳。印发船舶修造行业安全生产“六化”工作指导意见、安全生产大检查工作方案。3项产品入选工信部安全应急装备应用推广典型案例名单。顺利通过国际禁止化学武器组织对我市履约企业的五次视察，承办纪念中国民用工业500次禁化武组织视察活动，获国家禁化武办表彰通报。强化无线电保障，在重要假日和重大活动期间，落实24小时值班及监测制度，及时发现和处置干扰。</w:t>
      </w:r>
    </w:p>
    <w:p w14:paraId="7F105AD5">
      <w:pPr>
        <w:spacing w:line="360" w:lineRule="auto"/>
        <w:ind w:left="600"/>
        <w:rPr>
          <w:rFonts w:ascii="黑体" w:hAnsi="黑体" w:eastAsia="黑体"/>
          <w:sz w:val="30"/>
        </w:rPr>
      </w:pPr>
      <w:r>
        <w:rPr>
          <w:rFonts w:hint="eastAsia" w:ascii="黑体" w:hAnsi="黑体" w:eastAsia="黑体"/>
          <w:sz w:val="30"/>
        </w:rPr>
        <w:t>三、部门（单位）概况</w:t>
      </w:r>
    </w:p>
    <w:p w14:paraId="6839C41D">
      <w:pPr>
        <w:spacing w:line="360" w:lineRule="auto"/>
        <w:ind w:firstLine="480" w:firstLineChars="200"/>
        <w:rPr>
          <w:rFonts w:hint="eastAsia" w:ascii="宋体" w:hAnsi="宋体" w:cs="宋体"/>
          <w:sz w:val="24"/>
        </w:rPr>
      </w:pPr>
      <w:r>
        <w:rPr>
          <w:rFonts w:hint="eastAsia" w:ascii="宋体" w:hAnsi="宋体" w:cs="宋体"/>
          <w:sz w:val="24"/>
        </w:rPr>
        <w:t>（一）主要职能</w:t>
      </w:r>
    </w:p>
    <w:p w14:paraId="4A9F3863">
      <w:pPr>
        <w:spacing w:line="360" w:lineRule="auto"/>
        <w:ind w:firstLine="480" w:firstLineChars="200"/>
        <w:rPr>
          <w:rFonts w:hint="eastAsia" w:ascii="宋体" w:hAnsi="宋体" w:cs="宋体"/>
          <w:sz w:val="24"/>
        </w:rPr>
      </w:pPr>
      <w:r>
        <w:rPr>
          <w:rFonts w:hint="eastAsia" w:ascii="宋体" w:hAnsi="宋体" w:cs="宋体"/>
          <w:sz w:val="24"/>
        </w:rPr>
        <w:t>1.贯彻执行党和国家有关工业和信息化工作的方针政策、法律法规和省委、省政府以及市委、市政府的决策部署，研究起草工业和信息化工作的地方性法规、规章草案和政策并督促实施。</w:t>
      </w:r>
    </w:p>
    <w:p w14:paraId="65127E9A">
      <w:pPr>
        <w:spacing w:line="360" w:lineRule="auto"/>
        <w:ind w:firstLine="480" w:firstLineChars="200"/>
        <w:rPr>
          <w:rFonts w:hint="eastAsia" w:ascii="宋体" w:hAnsi="宋体" w:cs="宋体"/>
          <w:sz w:val="24"/>
        </w:rPr>
      </w:pPr>
      <w:r>
        <w:rPr>
          <w:rFonts w:hint="eastAsia" w:ascii="宋体" w:hAnsi="宋体" w:cs="宋体"/>
          <w:sz w:val="24"/>
        </w:rPr>
        <w:t>2.推进全市工业和信息化高质量发展。根据全市经济社会发展总体规划，制定实施工业和信息化高质量发展的产业政策、发展规划，提出优化产业布局、调整产业结构、推动产业转型升级的政策建议，推进信息化与工业化深度融合。按分工承担供给侧结构性改革任务。</w:t>
      </w:r>
    </w:p>
    <w:p w14:paraId="56B7A8FD">
      <w:pPr>
        <w:spacing w:line="360" w:lineRule="auto"/>
        <w:ind w:firstLine="480" w:firstLineChars="200"/>
        <w:rPr>
          <w:rFonts w:hint="eastAsia" w:ascii="宋体" w:hAnsi="宋体" w:cs="宋体"/>
          <w:sz w:val="24"/>
        </w:rPr>
      </w:pPr>
      <w:r>
        <w:rPr>
          <w:rFonts w:hint="eastAsia" w:ascii="宋体" w:hAnsi="宋体" w:cs="宋体"/>
          <w:sz w:val="24"/>
        </w:rPr>
        <w:t>3.推进制造强市建设。贯彻实施新型工业化发展战略，统筹推进制造强市建设重大工程，培育先进制造业集群，建设具有国际竞争力的先进制造业基地。</w:t>
      </w:r>
    </w:p>
    <w:p w14:paraId="4BD9AF6D">
      <w:pPr>
        <w:spacing w:line="360" w:lineRule="auto"/>
        <w:ind w:firstLine="480" w:firstLineChars="200"/>
        <w:rPr>
          <w:rFonts w:hint="eastAsia" w:ascii="宋体" w:hAnsi="宋体" w:cs="宋体"/>
          <w:sz w:val="24"/>
        </w:rPr>
      </w:pPr>
      <w:r>
        <w:rPr>
          <w:rFonts w:hint="eastAsia" w:ascii="宋体" w:hAnsi="宋体" w:cs="宋体"/>
          <w:sz w:val="24"/>
        </w:rPr>
        <w:t>4.负责全市工业和信息化运行监测协调。拟订并实施近期工业、信息化运行调控目标、政策措施，开展企业信息采集、行业统计分析和产业发展报告等工作，进行监测预警、预期引导，协调解决运行发展中的相关问题。</w:t>
      </w:r>
    </w:p>
    <w:p w14:paraId="1DE97B54">
      <w:pPr>
        <w:spacing w:line="360" w:lineRule="auto"/>
        <w:ind w:firstLine="480" w:firstLineChars="200"/>
        <w:rPr>
          <w:rFonts w:hint="eastAsia" w:ascii="宋体" w:hAnsi="宋体" w:cs="宋体"/>
          <w:sz w:val="24"/>
        </w:rPr>
      </w:pPr>
      <w:r>
        <w:rPr>
          <w:rFonts w:hint="eastAsia" w:ascii="宋体" w:hAnsi="宋体" w:cs="宋体"/>
          <w:sz w:val="24"/>
        </w:rPr>
        <w:t>5.负责全市工业和信息化领域的投资和技术改造相关工作。提出工业和信息化领域固定资产投资方向、规模，按规定权限管理工业和信息化领域固定资产投资项目，牵头推进重大工业项目建设。拟订并实施推进企业技术改造的有关政策、规划。</w:t>
      </w:r>
    </w:p>
    <w:p w14:paraId="1D7E9E6C">
      <w:pPr>
        <w:spacing w:line="360" w:lineRule="auto"/>
        <w:ind w:firstLine="480" w:firstLineChars="200"/>
        <w:rPr>
          <w:rFonts w:hint="eastAsia" w:ascii="宋体" w:hAnsi="宋体" w:cs="宋体"/>
          <w:sz w:val="24"/>
        </w:rPr>
      </w:pPr>
      <w:r>
        <w:rPr>
          <w:rFonts w:hint="eastAsia" w:ascii="宋体" w:hAnsi="宋体" w:cs="宋体"/>
          <w:sz w:val="24"/>
        </w:rPr>
        <w:t>6.负责全市自主可控的先进制造业体系建设。推动提升关键技术的控制力、产业集群的带动力、产业链条的整合力、信息化的引领力和标准的主导力。推动工业和信息化领域技术创新，推进产业创新体系和能力建设。组织实施重大技术装备攻关。推广应用新技术、新材料、新工艺，促进产学研用结合和技术成果转化。协同推进工业和信息化领域品牌、质量、标准、知识产权等工作。</w:t>
      </w:r>
    </w:p>
    <w:p w14:paraId="5E96FB1E">
      <w:pPr>
        <w:spacing w:line="360" w:lineRule="auto"/>
        <w:ind w:firstLine="480" w:firstLineChars="200"/>
        <w:rPr>
          <w:rFonts w:hint="eastAsia" w:ascii="宋体" w:hAnsi="宋体" w:cs="宋体"/>
          <w:sz w:val="24"/>
        </w:rPr>
      </w:pPr>
      <w:r>
        <w:rPr>
          <w:rFonts w:hint="eastAsia" w:ascii="宋体" w:hAnsi="宋体" w:cs="宋体"/>
          <w:sz w:val="24"/>
        </w:rPr>
        <w:t>7.推动全市工业和信息化领域的战略性新兴产业发展。研究拟订并实施推动工业和信息化领域的战略性新兴产业发展的政策意见，组织实施有关重大专项，培育新产业、新技术、新业态、新模式。</w:t>
      </w:r>
    </w:p>
    <w:p w14:paraId="534B5B36">
      <w:pPr>
        <w:spacing w:line="360" w:lineRule="auto"/>
        <w:ind w:firstLine="480" w:firstLineChars="200"/>
        <w:rPr>
          <w:rFonts w:hint="eastAsia" w:ascii="宋体" w:hAnsi="宋体" w:cs="宋体"/>
          <w:sz w:val="24"/>
        </w:rPr>
      </w:pPr>
      <w:r>
        <w:rPr>
          <w:rFonts w:hint="eastAsia" w:ascii="宋体" w:hAnsi="宋体" w:cs="宋体"/>
          <w:sz w:val="24"/>
        </w:rPr>
        <w:t>8.推进全市有关生产性服务业发展。拟订并实施服务型制造、工业和信息化领域生产性服务业发展政策，推动先进制造业和现代服务业深度融合。推动工业设计、现代物流、会展业等发展，负责工业遗产保护、工业文化建设和工业、信息产品市场建设等工作。</w:t>
      </w:r>
    </w:p>
    <w:p w14:paraId="3CF38937">
      <w:pPr>
        <w:spacing w:line="360" w:lineRule="auto"/>
        <w:ind w:firstLine="480" w:firstLineChars="200"/>
        <w:rPr>
          <w:rFonts w:hint="eastAsia" w:ascii="宋体" w:hAnsi="宋体" w:cs="宋体"/>
          <w:sz w:val="24"/>
        </w:rPr>
      </w:pPr>
      <w:r>
        <w:rPr>
          <w:rFonts w:hint="eastAsia" w:ascii="宋体" w:hAnsi="宋体" w:cs="宋体"/>
          <w:sz w:val="24"/>
        </w:rPr>
        <w:t>9.负责全市工业和信息化领域的行业管理。研究提出推动行业发展、加强行业管理的政策建议，拟订并实施行业发展规划、准入标准，协调解决行业发展中相关问题。负责工业和信息化应急管理、产业安全和国防动员有关工作。负责管理全市食盐专营工作和全市盐业行业管理。指导相关行业安全生产工作。指导工业和信息化领域的对外交流与合作。</w:t>
      </w:r>
    </w:p>
    <w:p w14:paraId="787E03EE">
      <w:pPr>
        <w:spacing w:line="360" w:lineRule="auto"/>
        <w:ind w:firstLine="480" w:firstLineChars="200"/>
        <w:rPr>
          <w:rFonts w:hint="eastAsia" w:ascii="宋体" w:hAnsi="宋体" w:cs="宋体"/>
          <w:sz w:val="24"/>
        </w:rPr>
      </w:pPr>
      <w:r>
        <w:rPr>
          <w:rFonts w:hint="eastAsia" w:ascii="宋体" w:hAnsi="宋体" w:cs="宋体"/>
          <w:sz w:val="24"/>
        </w:rPr>
        <w:t>10.统筹推进全市信息化发展。协调推进经济和社会信息化发展、智慧苏州建设等工作，深化信息技术应用。协调相关信息基础设施建设，组织推进通信网、广播电视网、计算机网等“多网”融合发展。协调信息服务业领域涉及公共社会利益的相关事项，推动跨行业、跨部门的互连互通。根据省级授权，负责全市无线电管理。</w:t>
      </w:r>
    </w:p>
    <w:p w14:paraId="60E4B82E">
      <w:pPr>
        <w:spacing w:line="360" w:lineRule="auto"/>
        <w:ind w:firstLine="480" w:firstLineChars="200"/>
        <w:rPr>
          <w:rFonts w:hint="eastAsia" w:ascii="宋体" w:hAnsi="宋体" w:cs="宋体"/>
          <w:sz w:val="24"/>
        </w:rPr>
      </w:pPr>
      <w:r>
        <w:rPr>
          <w:rFonts w:hint="eastAsia" w:ascii="宋体" w:hAnsi="宋体" w:cs="宋体"/>
          <w:sz w:val="24"/>
        </w:rPr>
        <w:t>11.负责推进工业化和信息化融合发展。指导推进“互联网+先进制造业”、人工智能与制造业融合创新应用、智能制造发展和产业数字化转型。指导推进工业信息安全保障工作。</w:t>
      </w:r>
    </w:p>
    <w:p w14:paraId="515DC0E7">
      <w:pPr>
        <w:spacing w:line="360" w:lineRule="auto"/>
        <w:ind w:firstLine="480" w:firstLineChars="200"/>
        <w:rPr>
          <w:rFonts w:hint="eastAsia" w:ascii="宋体" w:hAnsi="宋体" w:cs="宋体"/>
          <w:sz w:val="24"/>
        </w:rPr>
      </w:pPr>
      <w:r>
        <w:rPr>
          <w:rFonts w:hint="eastAsia" w:ascii="宋体" w:hAnsi="宋体" w:cs="宋体"/>
          <w:sz w:val="24"/>
        </w:rPr>
        <w:t>12.推进全市数字经济和大数据产业发展。拟订并实施促进工业和信息化领域数字经济和大数据产业发展的战略、规划和政策措施。推进信息产业发展和结构调整，培育推广云计算、物联网、人工智能等产业。</w:t>
      </w:r>
    </w:p>
    <w:p w14:paraId="44BAD575">
      <w:pPr>
        <w:spacing w:line="360" w:lineRule="auto"/>
        <w:ind w:firstLine="480" w:firstLineChars="200"/>
        <w:rPr>
          <w:rFonts w:hint="eastAsia" w:ascii="宋体" w:hAnsi="宋体" w:cs="宋体"/>
          <w:sz w:val="24"/>
        </w:rPr>
      </w:pPr>
      <w:r>
        <w:rPr>
          <w:rFonts w:hint="eastAsia" w:ascii="宋体" w:hAnsi="宋体" w:cs="宋体"/>
          <w:sz w:val="24"/>
        </w:rPr>
        <w:t>13.综合协调全社会节能工作。拟订并实施全社会节能规划和工业、信息化领域能源节约、循环经济、能耗超限企业清洁生产、资源综合利用政策，开展节能监察管理和节能评估审查工作。推进绿色制造工程。指导全市墙体材料革新和发展散装水泥工作。</w:t>
      </w:r>
    </w:p>
    <w:p w14:paraId="399BD6F6">
      <w:pPr>
        <w:spacing w:line="360" w:lineRule="auto"/>
        <w:ind w:firstLine="480" w:firstLineChars="200"/>
        <w:rPr>
          <w:rFonts w:hint="eastAsia" w:ascii="宋体" w:hAnsi="宋体" w:cs="宋体"/>
          <w:sz w:val="24"/>
        </w:rPr>
      </w:pPr>
      <w:r>
        <w:rPr>
          <w:rFonts w:hint="eastAsia" w:ascii="宋体" w:hAnsi="宋体" w:cs="宋体"/>
          <w:sz w:val="24"/>
        </w:rPr>
        <w:t>14.培育发展全市大企业大集团和龙头骨干企业。拟订并实施培育发展大企业大集团、龙头骨干企业的政策措施。推动企业管理创新和建立现代企业制度，推动企业家队伍建设和产业人才开发，组织指导企业经营管理人才教育培训。协调企业重大资产重组项目。牵头推进企业减负降本。</w:t>
      </w:r>
    </w:p>
    <w:p w14:paraId="6CD112CB">
      <w:pPr>
        <w:spacing w:line="360" w:lineRule="auto"/>
        <w:ind w:firstLine="480" w:firstLineChars="200"/>
        <w:rPr>
          <w:rFonts w:hint="eastAsia" w:ascii="宋体" w:hAnsi="宋体" w:cs="宋体"/>
          <w:sz w:val="24"/>
        </w:rPr>
      </w:pPr>
      <w:r>
        <w:rPr>
          <w:rFonts w:hint="eastAsia" w:ascii="宋体" w:hAnsi="宋体" w:cs="宋体"/>
          <w:sz w:val="24"/>
        </w:rPr>
        <w:t>15.负责全市中小企业和民营经济发展的宏观指导和服务。会同有关部门拟订促进中小企业和民营经济发展的政策措施，协调解决发展中的有关问题。负责中小企业公共服务平台和社会化服务体系建设。开展中小企业梯次培育，推进中小企业专精特新发展，培育“隐形冠军”企业，促进中小企业与大企业融通发展。</w:t>
      </w:r>
    </w:p>
    <w:p w14:paraId="1C18D1B7">
      <w:pPr>
        <w:spacing w:line="360" w:lineRule="auto"/>
        <w:ind w:firstLine="480" w:firstLineChars="200"/>
        <w:rPr>
          <w:rFonts w:hint="eastAsia" w:ascii="宋体" w:hAnsi="宋体" w:cs="宋体"/>
          <w:sz w:val="24"/>
        </w:rPr>
      </w:pPr>
      <w:r>
        <w:rPr>
          <w:rFonts w:hint="eastAsia" w:ascii="宋体" w:hAnsi="宋体" w:cs="宋体"/>
          <w:sz w:val="24"/>
        </w:rPr>
        <w:t>16.组织拟订全市国防科技工业规划。协助省国防科技工业办公室做好军工能力调整、资产重组、军品科研及生产、固定资产投资管理、武器装备科研生产许可、保密认证以及军工统计等工作。负责民用爆破器材生产和流通的行业管理，负责军民两用技术双向转移等相关工作，负责全市船舶行业管理。</w:t>
      </w:r>
    </w:p>
    <w:p w14:paraId="0CC055AF">
      <w:pPr>
        <w:spacing w:line="360" w:lineRule="auto"/>
        <w:ind w:firstLine="480" w:firstLineChars="200"/>
        <w:rPr>
          <w:rFonts w:hint="eastAsia" w:ascii="宋体" w:hAnsi="宋体" w:cs="宋体"/>
          <w:sz w:val="24"/>
        </w:rPr>
      </w:pPr>
      <w:r>
        <w:rPr>
          <w:rFonts w:hint="eastAsia" w:ascii="宋体" w:hAnsi="宋体" w:cs="宋体"/>
          <w:sz w:val="24"/>
        </w:rPr>
        <w:t>17.完成市委、市政府交办的其他任务。</w:t>
      </w:r>
    </w:p>
    <w:p w14:paraId="5F0EF409">
      <w:pPr>
        <w:spacing w:line="360" w:lineRule="auto"/>
        <w:ind w:firstLine="480" w:firstLineChars="200"/>
        <w:rPr>
          <w:rFonts w:hint="eastAsia" w:ascii="宋体" w:hAnsi="宋体" w:cs="宋体"/>
          <w:sz w:val="24"/>
        </w:rPr>
      </w:pPr>
      <w:r>
        <w:rPr>
          <w:rFonts w:hint="eastAsia" w:ascii="宋体" w:hAnsi="宋体" w:cs="宋体"/>
          <w:sz w:val="24"/>
        </w:rPr>
        <w:t>18.职能转变。</w:t>
      </w:r>
    </w:p>
    <w:p w14:paraId="51695D26">
      <w:pPr>
        <w:spacing w:line="360" w:lineRule="auto"/>
        <w:ind w:firstLine="480" w:firstLineChars="200"/>
        <w:rPr>
          <w:rFonts w:hint="eastAsia" w:ascii="宋体" w:hAnsi="宋体" w:cs="宋体"/>
          <w:sz w:val="24"/>
        </w:rPr>
      </w:pPr>
      <w:r>
        <w:rPr>
          <w:rFonts w:hint="eastAsia" w:ascii="宋体" w:hAnsi="宋体" w:cs="宋体"/>
          <w:sz w:val="24"/>
        </w:rPr>
        <w:t>深化供给侧结构性改革，推动信息化和工业化、先进制造业和现代服务业深度融合发展，打造自主可控的先进制造业体系，建设制造强市、网络强市。强化战略规划、政策标准的引领和约束作用，提升工业和信息化运行监测、预测预警和预期引导能力，推动工业和信息化高质量发展。优化产行业管理，减少微观管理事务，减少对工业和信息化领域市场资源的直接配置，进一步激发市场活力，创造良好营商环境。</w:t>
      </w:r>
    </w:p>
    <w:p w14:paraId="248C65A4">
      <w:pPr>
        <w:spacing w:line="360" w:lineRule="auto"/>
        <w:ind w:firstLine="480" w:firstLineChars="200"/>
        <w:rPr>
          <w:rFonts w:hint="eastAsia" w:ascii="宋体" w:hAnsi="宋体" w:cs="宋体"/>
          <w:sz w:val="24"/>
        </w:rPr>
      </w:pPr>
      <w:r>
        <w:rPr>
          <w:rFonts w:hint="eastAsia" w:ascii="宋体" w:hAnsi="宋体" w:cs="宋体"/>
          <w:sz w:val="24"/>
        </w:rPr>
        <w:t>深化相对集中行政许可权改革，建立行政审批与监管协调联动制度。市行政审批局负责划转事项的行政审批过程和结果，并将相关信息同步推送至市工业和信息化局，市工业和信息化局将事后监管结果推送给市行政审批局。市工业和信息化局在市行政审批局行使行政许可权过程中提供法律法规、政策依据等支撑，按照审批结果及时开展事中事后监管，承担监管主体责任。</w:t>
      </w:r>
    </w:p>
    <w:p w14:paraId="0564ED20">
      <w:pPr>
        <w:numPr>
          <w:ilvl w:val="0"/>
          <w:numId w:val="2"/>
        </w:numPr>
        <w:spacing w:line="360" w:lineRule="auto"/>
        <w:ind w:firstLine="480" w:firstLineChars="200"/>
        <w:rPr>
          <w:rFonts w:hint="eastAsia" w:ascii="宋体" w:hAnsi="宋体" w:cs="宋体"/>
          <w:sz w:val="24"/>
        </w:rPr>
      </w:pPr>
      <w:r>
        <w:rPr>
          <w:rFonts w:hint="eastAsia" w:ascii="宋体" w:hAnsi="宋体" w:cs="宋体"/>
          <w:sz w:val="24"/>
        </w:rPr>
        <w:t>单位机构设置</w:t>
      </w:r>
    </w:p>
    <w:p w14:paraId="0F11E6C6">
      <w:pPr>
        <w:numPr>
          <w:numId w:val="0"/>
        </w:numPr>
        <w:spacing w:line="360" w:lineRule="auto"/>
        <w:ind w:firstLine="480" w:firstLineChars="200"/>
        <w:rPr>
          <w:rFonts w:ascii="宋体" w:hAnsi="宋体" w:cs="宋体"/>
          <w:sz w:val="24"/>
        </w:rPr>
      </w:pPr>
      <w:bookmarkStart w:id="0" w:name="_GoBack"/>
      <w:bookmarkEnd w:id="0"/>
      <w:r>
        <w:rPr>
          <w:rFonts w:hint="eastAsia" w:ascii="宋体" w:hAnsi="宋体" w:cs="宋体"/>
          <w:sz w:val="24"/>
        </w:rPr>
        <w:t>根据单位职责分工，本单位内设机构包括：办公室、综合规划处、产业政策与法规处、新型工业化推进处、运行监测处、投资与技术改造处、技术创新与人才处、节能与综合利用处、企业服务处（中小企业处）、生物医药产业处、装备工业处、材料工业处、消费品工业处、电子信息产业处、信息化推进处、人工智能发展处（大数据产业处）、无线电管理处、市国防科技工业办公室、组织人事处、机关党委、离退休干部处。</w:t>
      </w:r>
    </w:p>
    <w:p w14:paraId="49EBDFE0">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20600FB5">
      <w:pPr>
        <w:spacing w:line="360" w:lineRule="auto"/>
        <w:ind w:firstLine="480" w:firstLineChars="200"/>
        <w:rPr>
          <w:rFonts w:hint="eastAsia" w:ascii="宋体" w:hAnsi="宋体" w:cs="宋体"/>
          <w:sz w:val="24"/>
        </w:rPr>
      </w:pPr>
      <w:r>
        <w:rPr>
          <w:rFonts w:hint="eastAsia" w:ascii="宋体" w:hAnsi="宋体" w:cs="宋体"/>
          <w:sz w:val="24"/>
        </w:rPr>
        <w:t>2024年，我局深入贯彻落实全面预算绩效管理要求，以提升财政资金使用效益为核心，以预算资金管理为主线，扎实推进部门自主绩效管理工作。通过强化绩效目标管理、优化绩效运行监控、深化绩效评价和结果运用，在提高财政资金使用效率、增强部门核心业务实施效果、推动部门整体绩效水平提升等方面迈出了坚实步伐。</w:t>
      </w:r>
    </w:p>
    <w:p w14:paraId="1C5F28A3">
      <w:pPr>
        <w:spacing w:line="360" w:lineRule="auto"/>
        <w:ind w:firstLine="480" w:firstLineChars="200"/>
        <w:rPr>
          <w:rFonts w:ascii="宋体" w:hAnsi="宋体" w:cs="宋体"/>
          <w:sz w:val="24"/>
        </w:rPr>
      </w:pPr>
      <w:r>
        <w:rPr>
          <w:rFonts w:hint="eastAsia" w:ascii="宋体" w:hAnsi="宋体" w:cs="宋体"/>
          <w:sz w:val="24"/>
        </w:rPr>
        <w:t>按照相关要求，我局从决策、过程、履职、效益、满意度等五个维度对整体支出绩效实现情况进行了全面自评。从评价结果来看，我局预算管理规范，资金使用高效，通过聚焦主责主业，高质量完成各项核心任务，绩效目标实现良好。财政资金在保障机构运转、支持日常工作开展、推动特定任务完成等方面发挥了重要作用，特别是特定目标类项目资金在重点领域的投入，对服务我市工业和信息化高质量发展成效显著。</w:t>
      </w:r>
    </w:p>
    <w:p w14:paraId="58F46F5C">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21CCC9F8">
      <w:pPr>
        <w:spacing w:line="360" w:lineRule="auto"/>
        <w:ind w:firstLine="480" w:firstLineChars="200"/>
        <w:rPr>
          <w:rFonts w:hint="eastAsia" w:ascii="宋体" w:hAnsi="宋体" w:cs="宋体"/>
          <w:sz w:val="24"/>
        </w:rPr>
      </w:pPr>
      <w:r>
        <w:rPr>
          <w:rFonts w:hint="eastAsia" w:ascii="宋体" w:hAnsi="宋体" w:cs="宋体"/>
          <w:sz w:val="24"/>
        </w:rPr>
        <w:t>（一）主要问题及原因分析</w:t>
      </w:r>
    </w:p>
    <w:p w14:paraId="5A0902B0">
      <w:pPr>
        <w:spacing w:line="360" w:lineRule="auto"/>
        <w:ind w:firstLine="480" w:firstLineChars="200"/>
        <w:rPr>
          <w:rFonts w:hint="eastAsia" w:ascii="宋体" w:hAnsi="宋体" w:cs="宋体"/>
          <w:sz w:val="24"/>
        </w:rPr>
      </w:pPr>
      <w:r>
        <w:rPr>
          <w:rFonts w:hint="eastAsia" w:ascii="宋体" w:hAnsi="宋体" w:cs="宋体"/>
          <w:sz w:val="24"/>
        </w:rPr>
        <w:t>1. 个别履职类指标未能完成绩效目标。主要是政策调整、专项资金申报工作整体推迟，导致相关指标未能完成。此外，1项履职类指标的实际完成值低于目标值。</w:t>
      </w:r>
    </w:p>
    <w:p w14:paraId="62A2119C">
      <w:pPr>
        <w:spacing w:line="360" w:lineRule="auto"/>
        <w:ind w:firstLine="480" w:firstLineChars="200"/>
        <w:rPr>
          <w:rFonts w:hint="eastAsia" w:ascii="宋体" w:hAnsi="宋体" w:cs="宋体"/>
          <w:sz w:val="24"/>
        </w:rPr>
      </w:pPr>
      <w:r>
        <w:rPr>
          <w:rFonts w:hint="eastAsia" w:ascii="宋体" w:hAnsi="宋体" w:cs="宋体"/>
          <w:sz w:val="24"/>
        </w:rPr>
        <w:t>2. 少量履职类指标完成值超出绩效目标较多。主要是对相关工作提出了更高要求，加大了对企业的政策扶持力度，以及在服务企业方面采取了更加积极的措施，使得相关指标的实际完成值超出既定目标值较多。</w:t>
      </w:r>
    </w:p>
    <w:p w14:paraId="147F244A">
      <w:pPr>
        <w:spacing w:line="360" w:lineRule="auto"/>
        <w:ind w:firstLine="480" w:firstLineChars="200"/>
        <w:rPr>
          <w:rFonts w:hint="eastAsia" w:ascii="宋体" w:hAnsi="宋体" w:cs="宋体"/>
          <w:sz w:val="24"/>
        </w:rPr>
      </w:pPr>
      <w:r>
        <w:rPr>
          <w:rFonts w:hint="eastAsia" w:ascii="宋体" w:hAnsi="宋体" w:cs="宋体"/>
          <w:sz w:val="24"/>
        </w:rPr>
        <w:t>（二）改进的方向和具体措施</w:t>
      </w:r>
    </w:p>
    <w:p w14:paraId="4EE1D9DE">
      <w:pPr>
        <w:spacing w:line="360" w:lineRule="auto"/>
        <w:ind w:firstLine="480" w:firstLineChars="200"/>
        <w:rPr>
          <w:rFonts w:hint="eastAsia" w:ascii="宋体" w:hAnsi="宋体" w:cs="宋体"/>
          <w:sz w:val="24"/>
          <w:lang w:val="en-US" w:eastAsia="zh-CN"/>
        </w:rPr>
      </w:pPr>
      <w:r>
        <w:rPr>
          <w:rFonts w:hint="eastAsia" w:ascii="宋体" w:hAnsi="宋体" w:cs="宋体"/>
          <w:sz w:val="24"/>
        </w:rPr>
        <w:t>1. 进一步强化绩效监控结果的运用。对绩效目标实现过程中出现的偏差，及时进行预警，督促相关责任处室深入分析问题根源，提出切实可行的改进措施，并跟踪落实整改情况。对于因政策调整或外部环境变化导致目标实现偏差较大的，及时与财政部门沟通，按照绩效调整规定，科学合理地调整绩效目标，使目标与实际工作相匹配。</w:t>
      </w:r>
      <w:r>
        <w:rPr>
          <w:rFonts w:hint="eastAsia" w:ascii="宋体" w:hAnsi="宋体" w:cs="宋体"/>
          <w:sz w:val="24"/>
          <w:lang w:val="en-US" w:eastAsia="zh-CN"/>
        </w:rPr>
        <w:t xml:space="preserve"> </w:t>
      </w:r>
    </w:p>
    <w:p w14:paraId="3371AE76">
      <w:pPr>
        <w:spacing w:line="360" w:lineRule="auto"/>
        <w:ind w:firstLine="480" w:firstLineChars="200"/>
        <w:rPr>
          <w:rFonts w:ascii="宋体" w:hAnsi="宋体" w:cs="宋体"/>
          <w:sz w:val="24"/>
        </w:rPr>
      </w:pPr>
      <w:r>
        <w:rPr>
          <w:rFonts w:hint="eastAsia" w:ascii="宋体" w:hAnsi="宋体" w:cs="宋体"/>
          <w:sz w:val="24"/>
        </w:rPr>
        <w:t>2. 进一步提高绩效目标编制的科学性。深入开展调研工作，全面了解相关政策导向和任务要求，科学设置绩效目标值，使绩效目标与上级部署、产业发展和部门职责衔接更加紧密，充分发挥绩效目标的指引作用。</w:t>
      </w:r>
    </w:p>
    <w:p w14:paraId="1F53C22B">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3B03A8EE">
      <w:pPr>
        <w:spacing w:line="360" w:lineRule="auto"/>
        <w:ind w:firstLine="480" w:firstLineChars="200"/>
        <w:rPr>
          <w:rFonts w:ascii="宋体" w:hAnsi="宋体" w:cs="宋体"/>
          <w:sz w:val="24"/>
        </w:rPr>
      </w:pPr>
      <w:r>
        <w:rPr>
          <w:rFonts w:hint="eastAsia" w:ascii="宋体" w:hAnsi="宋体" w:cs="宋体"/>
          <w:sz w:val="24"/>
        </w:rPr>
        <w:t>积极落实评价结果报告、反馈和整改工作，形成预算绩效管理闭环，有效巩固绩效管理成果。绩效评价结果与预算安排有机结合，将自评结果作为未来年度的资金安排和项目立项的重要参考，真正体现奖优罚劣的绩效导向。规范预算绩效管理信息公开，绩效自评结果将在省预决算公开平台及部门门户网站上进行公开，接受社会监督。</w:t>
      </w:r>
    </w:p>
    <w:p w14:paraId="4C77FA54">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47204CDE">
      <w:pPr>
        <w:numPr>
          <w:ilvl w:val="0"/>
          <w:numId w:val="3"/>
        </w:numPr>
        <w:spacing w:line="360" w:lineRule="auto"/>
        <w:ind w:left="600"/>
        <w:rPr>
          <w:rFonts w:ascii="黑体" w:hAnsi="黑体" w:eastAsia="黑体"/>
          <w:sz w:val="30"/>
        </w:rPr>
      </w:pPr>
      <w:r>
        <w:rPr>
          <w:rFonts w:hint="eastAsia" w:ascii="黑体" w:hAnsi="黑体" w:eastAsia="黑体"/>
          <w:sz w:val="30"/>
        </w:rPr>
        <w:t>预算信息</w:t>
      </w:r>
    </w:p>
    <w:p w14:paraId="5BBE5C61">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3E992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364D3FFD">
            <w:pPr>
              <w:widowControl/>
              <w:jc w:val="center"/>
              <w:rPr>
                <w:rFonts w:ascii="宋体" w:hAnsi="宋体" w:cs="宋体"/>
                <w:b/>
                <w:bCs/>
                <w:kern w:val="0"/>
                <w:sz w:val="24"/>
              </w:rPr>
            </w:pPr>
            <w:r>
              <w:rPr>
                <w:rFonts w:hint="eastAsia" w:ascii="宋体" w:hAnsi="宋体" w:cs="宋体"/>
                <w:b/>
                <w:bCs/>
                <w:kern w:val="0"/>
                <w:sz w:val="24"/>
              </w:rPr>
              <w:t>本年度预算资金（万元）</w:t>
            </w:r>
          </w:p>
        </w:tc>
        <w:tc>
          <w:tcPr>
            <w:tcW w:w="2268" w:type="dxa"/>
            <w:shd w:val="clear" w:color="000000" w:fill="BFBFBF"/>
            <w:vAlign w:val="center"/>
          </w:tcPr>
          <w:p w14:paraId="2B456960">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77B04123">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2158BF4B">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3E131F73">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672D9A53">
            <w:pPr>
              <w:widowControl/>
              <w:jc w:val="center"/>
              <w:rPr>
                <w:rFonts w:ascii="宋体" w:hAnsi="宋体" w:cs="宋体"/>
                <w:b/>
                <w:bCs/>
                <w:kern w:val="0"/>
                <w:sz w:val="24"/>
              </w:rPr>
            </w:pPr>
            <w:r>
              <w:rPr>
                <w:rFonts w:hint="eastAsia" w:ascii="宋体" w:hAnsi="宋体" w:cs="宋体"/>
                <w:b/>
                <w:bCs/>
                <w:kern w:val="0"/>
                <w:sz w:val="24"/>
              </w:rPr>
              <w:t>执行率（%)</w:t>
            </w:r>
          </w:p>
        </w:tc>
      </w:tr>
      <w:tr w14:paraId="3CAF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11A2F0A3">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14:paraId="2A860596">
            <w:pPr>
              <w:widowControl/>
              <w:jc w:val="center"/>
              <w:rPr>
                <w:rFonts w:ascii="宋体" w:hAnsi="宋体" w:cs="宋体"/>
                <w:kern w:val="0"/>
                <w:sz w:val="24"/>
              </w:rPr>
            </w:pPr>
            <w:r>
              <w:rPr>
                <w:rFonts w:hint="eastAsia" w:ascii="宋体" w:hAnsi="宋体" w:cs="宋体"/>
                <w:sz w:val="24"/>
              </w:rPr>
              <w:t>110913.61</w:t>
            </w:r>
          </w:p>
        </w:tc>
        <w:tc>
          <w:tcPr>
            <w:tcW w:w="2268" w:type="dxa"/>
            <w:vAlign w:val="center"/>
          </w:tcPr>
          <w:p w14:paraId="77F14913">
            <w:pPr>
              <w:widowControl/>
              <w:jc w:val="center"/>
              <w:rPr>
                <w:rFonts w:ascii="宋体" w:hAnsi="宋体" w:cs="宋体"/>
                <w:sz w:val="24"/>
              </w:rPr>
            </w:pPr>
            <w:r>
              <w:rPr>
                <w:rFonts w:hint="eastAsia" w:ascii="宋体" w:hAnsi="宋体" w:cs="宋体"/>
                <w:sz w:val="24"/>
              </w:rPr>
              <w:t>959.27</w:t>
            </w:r>
          </w:p>
        </w:tc>
        <w:tc>
          <w:tcPr>
            <w:tcW w:w="2268" w:type="dxa"/>
            <w:vAlign w:val="center"/>
          </w:tcPr>
          <w:p w14:paraId="622F98A3">
            <w:pPr>
              <w:widowControl/>
              <w:jc w:val="center"/>
              <w:rPr>
                <w:rFonts w:ascii="宋体" w:hAnsi="宋体" w:cs="宋体"/>
                <w:sz w:val="24"/>
              </w:rPr>
            </w:pPr>
            <w:r>
              <w:rPr>
                <w:rFonts w:hint="eastAsia" w:ascii="宋体" w:hAnsi="宋体" w:cs="宋体"/>
                <w:sz w:val="24"/>
              </w:rPr>
              <w:t>111872.88</w:t>
            </w:r>
          </w:p>
        </w:tc>
        <w:tc>
          <w:tcPr>
            <w:tcW w:w="2268" w:type="dxa"/>
            <w:vAlign w:val="center"/>
          </w:tcPr>
          <w:p w14:paraId="7245D7E3">
            <w:pPr>
              <w:widowControl/>
              <w:jc w:val="center"/>
              <w:rPr>
                <w:rFonts w:ascii="宋体" w:hAnsi="宋体" w:cs="宋体"/>
                <w:sz w:val="24"/>
              </w:rPr>
            </w:pPr>
            <w:r>
              <w:rPr>
                <w:rFonts w:hint="eastAsia" w:ascii="宋体" w:hAnsi="宋体" w:cs="宋体"/>
                <w:sz w:val="24"/>
              </w:rPr>
              <w:t>95053.91</w:t>
            </w:r>
          </w:p>
        </w:tc>
        <w:tc>
          <w:tcPr>
            <w:tcW w:w="2268" w:type="dxa"/>
            <w:vAlign w:val="center"/>
          </w:tcPr>
          <w:p w14:paraId="7955E551">
            <w:pPr>
              <w:widowControl/>
              <w:jc w:val="center"/>
              <w:rPr>
                <w:rFonts w:ascii="宋体" w:hAnsi="宋体" w:cs="宋体"/>
                <w:sz w:val="24"/>
              </w:rPr>
            </w:pPr>
            <w:r>
              <w:rPr>
                <w:rFonts w:hint="eastAsia" w:ascii="宋体" w:hAnsi="宋体" w:cs="宋体"/>
                <w:sz w:val="24"/>
              </w:rPr>
              <w:t>84.97%</w:t>
            </w:r>
          </w:p>
        </w:tc>
      </w:tr>
      <w:tr w14:paraId="367B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084A1492">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14:paraId="5430ADD2">
            <w:pPr>
              <w:widowControl/>
              <w:jc w:val="center"/>
              <w:rPr>
                <w:rFonts w:ascii="宋体" w:hAnsi="宋体" w:cs="宋体"/>
                <w:kern w:val="0"/>
                <w:sz w:val="24"/>
              </w:rPr>
            </w:pPr>
            <w:r>
              <w:rPr>
                <w:rFonts w:hint="eastAsia" w:ascii="宋体" w:hAnsi="宋体" w:cs="宋体"/>
                <w:sz w:val="24"/>
              </w:rPr>
              <w:t>3818.06</w:t>
            </w:r>
          </w:p>
        </w:tc>
        <w:tc>
          <w:tcPr>
            <w:tcW w:w="2268" w:type="dxa"/>
            <w:vAlign w:val="center"/>
          </w:tcPr>
          <w:p w14:paraId="24B62723">
            <w:pPr>
              <w:widowControl/>
              <w:jc w:val="center"/>
              <w:rPr>
                <w:rFonts w:ascii="宋体" w:hAnsi="宋体" w:cs="宋体"/>
                <w:sz w:val="24"/>
              </w:rPr>
            </w:pPr>
            <w:r>
              <w:rPr>
                <w:rFonts w:hint="eastAsia" w:ascii="宋体" w:hAnsi="宋体" w:cs="宋体"/>
                <w:sz w:val="24"/>
              </w:rPr>
              <w:t>553.35</w:t>
            </w:r>
          </w:p>
        </w:tc>
        <w:tc>
          <w:tcPr>
            <w:tcW w:w="2268" w:type="dxa"/>
            <w:vAlign w:val="center"/>
          </w:tcPr>
          <w:p w14:paraId="0214788F">
            <w:pPr>
              <w:widowControl/>
              <w:jc w:val="center"/>
              <w:rPr>
                <w:rFonts w:ascii="宋体" w:hAnsi="宋体" w:cs="宋体"/>
                <w:sz w:val="24"/>
              </w:rPr>
            </w:pPr>
            <w:r>
              <w:rPr>
                <w:rFonts w:hint="eastAsia" w:ascii="宋体" w:hAnsi="宋体" w:cs="宋体"/>
                <w:sz w:val="24"/>
              </w:rPr>
              <w:t>4371.41</w:t>
            </w:r>
          </w:p>
        </w:tc>
        <w:tc>
          <w:tcPr>
            <w:tcW w:w="2268" w:type="dxa"/>
            <w:vAlign w:val="center"/>
          </w:tcPr>
          <w:p w14:paraId="1CB2DFE7">
            <w:pPr>
              <w:widowControl/>
              <w:jc w:val="center"/>
              <w:rPr>
                <w:rFonts w:ascii="宋体" w:hAnsi="宋体" w:cs="宋体"/>
                <w:sz w:val="24"/>
              </w:rPr>
            </w:pPr>
            <w:r>
              <w:rPr>
                <w:rFonts w:hint="eastAsia" w:ascii="宋体" w:hAnsi="宋体" w:cs="宋体"/>
                <w:sz w:val="24"/>
              </w:rPr>
              <w:t>4304.96</w:t>
            </w:r>
          </w:p>
        </w:tc>
        <w:tc>
          <w:tcPr>
            <w:tcW w:w="2268" w:type="dxa"/>
            <w:vAlign w:val="center"/>
          </w:tcPr>
          <w:p w14:paraId="68496A40">
            <w:pPr>
              <w:widowControl/>
              <w:jc w:val="center"/>
              <w:rPr>
                <w:rFonts w:ascii="宋体" w:hAnsi="宋体" w:cs="宋体"/>
                <w:sz w:val="24"/>
              </w:rPr>
            </w:pPr>
            <w:r>
              <w:rPr>
                <w:rFonts w:hint="eastAsia" w:ascii="宋体" w:hAnsi="宋体" w:cs="宋体"/>
                <w:sz w:val="24"/>
              </w:rPr>
              <w:t>98.48%</w:t>
            </w:r>
          </w:p>
        </w:tc>
      </w:tr>
      <w:tr w14:paraId="12938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6716BA2D">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14:paraId="0FB8D33B">
            <w:pPr>
              <w:widowControl/>
              <w:jc w:val="center"/>
              <w:rPr>
                <w:rFonts w:ascii="宋体" w:hAnsi="宋体" w:cs="宋体"/>
                <w:kern w:val="0"/>
                <w:sz w:val="24"/>
              </w:rPr>
            </w:pPr>
            <w:r>
              <w:rPr>
                <w:rFonts w:hint="eastAsia" w:ascii="宋体" w:hAnsi="宋体" w:cs="宋体"/>
                <w:sz w:val="24"/>
              </w:rPr>
              <w:t>107095.55</w:t>
            </w:r>
          </w:p>
        </w:tc>
        <w:tc>
          <w:tcPr>
            <w:tcW w:w="2268" w:type="dxa"/>
            <w:vAlign w:val="center"/>
          </w:tcPr>
          <w:p w14:paraId="180FA963">
            <w:pPr>
              <w:widowControl/>
              <w:jc w:val="center"/>
              <w:rPr>
                <w:rFonts w:ascii="宋体" w:hAnsi="宋体" w:cs="宋体"/>
                <w:sz w:val="24"/>
              </w:rPr>
            </w:pPr>
            <w:r>
              <w:rPr>
                <w:rFonts w:hint="eastAsia" w:ascii="宋体" w:hAnsi="宋体" w:cs="宋体"/>
                <w:sz w:val="24"/>
              </w:rPr>
              <w:t>405.92</w:t>
            </w:r>
          </w:p>
        </w:tc>
        <w:tc>
          <w:tcPr>
            <w:tcW w:w="2268" w:type="dxa"/>
            <w:vAlign w:val="center"/>
          </w:tcPr>
          <w:p w14:paraId="2F135BE7">
            <w:pPr>
              <w:widowControl/>
              <w:jc w:val="center"/>
              <w:rPr>
                <w:rFonts w:ascii="宋体" w:hAnsi="宋体" w:cs="宋体"/>
                <w:sz w:val="24"/>
              </w:rPr>
            </w:pPr>
            <w:r>
              <w:rPr>
                <w:rFonts w:hint="eastAsia" w:ascii="宋体" w:hAnsi="宋体" w:cs="宋体"/>
                <w:sz w:val="24"/>
              </w:rPr>
              <w:t>107501.47</w:t>
            </w:r>
          </w:p>
        </w:tc>
        <w:tc>
          <w:tcPr>
            <w:tcW w:w="2268" w:type="dxa"/>
            <w:vAlign w:val="center"/>
          </w:tcPr>
          <w:p w14:paraId="364A12AC">
            <w:pPr>
              <w:widowControl/>
              <w:jc w:val="center"/>
              <w:rPr>
                <w:rFonts w:ascii="宋体" w:hAnsi="宋体" w:cs="宋体"/>
                <w:sz w:val="24"/>
              </w:rPr>
            </w:pPr>
            <w:r>
              <w:rPr>
                <w:rFonts w:hint="eastAsia" w:ascii="宋体" w:hAnsi="宋体" w:cs="宋体"/>
                <w:sz w:val="24"/>
              </w:rPr>
              <w:t>90748.95</w:t>
            </w:r>
          </w:p>
        </w:tc>
        <w:tc>
          <w:tcPr>
            <w:tcW w:w="2268" w:type="dxa"/>
            <w:vAlign w:val="center"/>
          </w:tcPr>
          <w:p w14:paraId="5C348C05">
            <w:pPr>
              <w:widowControl/>
              <w:jc w:val="center"/>
              <w:rPr>
                <w:rFonts w:ascii="宋体" w:hAnsi="宋体" w:cs="宋体"/>
                <w:sz w:val="24"/>
              </w:rPr>
            </w:pPr>
            <w:r>
              <w:rPr>
                <w:rFonts w:hint="eastAsia" w:ascii="宋体" w:hAnsi="宋体" w:cs="宋体"/>
                <w:sz w:val="24"/>
              </w:rPr>
              <w:t>84.42%</w:t>
            </w:r>
          </w:p>
        </w:tc>
      </w:tr>
      <w:tr w14:paraId="5632C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11286126">
            <w:pPr>
              <w:widowControl/>
              <w:jc w:val="left"/>
              <w:rPr>
                <w:rFonts w:ascii="宋体" w:hAnsi="宋体" w:cs="宋体"/>
                <w:kern w:val="0"/>
                <w:sz w:val="24"/>
              </w:rPr>
            </w:pPr>
            <w:r>
              <w:rPr>
                <w:rFonts w:hint="eastAsia" w:ascii="宋体" w:hAnsi="宋体" w:cs="宋体"/>
                <w:sz w:val="24"/>
              </w:rPr>
              <w:t>购买盐政监管、食盐储备服务</w:t>
            </w:r>
          </w:p>
        </w:tc>
        <w:tc>
          <w:tcPr>
            <w:tcW w:w="2268" w:type="dxa"/>
            <w:vAlign w:val="center"/>
          </w:tcPr>
          <w:p w14:paraId="79B79A67">
            <w:pPr>
              <w:widowControl/>
              <w:jc w:val="center"/>
              <w:rPr>
                <w:rFonts w:ascii="宋体" w:hAnsi="宋体" w:cs="宋体"/>
                <w:kern w:val="0"/>
                <w:sz w:val="24"/>
              </w:rPr>
            </w:pPr>
            <w:r>
              <w:rPr>
                <w:rFonts w:hint="eastAsia" w:ascii="宋体" w:hAnsi="宋体" w:cs="宋体"/>
                <w:sz w:val="24"/>
              </w:rPr>
              <w:t>357.5</w:t>
            </w:r>
          </w:p>
        </w:tc>
        <w:tc>
          <w:tcPr>
            <w:tcW w:w="2268" w:type="dxa"/>
            <w:vAlign w:val="center"/>
          </w:tcPr>
          <w:p w14:paraId="466D4412">
            <w:pPr>
              <w:widowControl/>
              <w:jc w:val="center"/>
              <w:rPr>
                <w:rFonts w:ascii="宋体" w:hAnsi="宋体" w:cs="宋体"/>
                <w:sz w:val="24"/>
              </w:rPr>
            </w:pPr>
          </w:p>
        </w:tc>
        <w:tc>
          <w:tcPr>
            <w:tcW w:w="2268" w:type="dxa"/>
            <w:vAlign w:val="center"/>
          </w:tcPr>
          <w:p w14:paraId="31061502">
            <w:pPr>
              <w:widowControl/>
              <w:jc w:val="center"/>
              <w:rPr>
                <w:rFonts w:ascii="宋体" w:hAnsi="宋体" w:cs="宋体"/>
                <w:sz w:val="24"/>
              </w:rPr>
            </w:pPr>
            <w:r>
              <w:rPr>
                <w:rFonts w:hint="eastAsia" w:ascii="宋体" w:hAnsi="宋体" w:cs="宋体"/>
                <w:sz w:val="24"/>
              </w:rPr>
              <w:t>357.5</w:t>
            </w:r>
          </w:p>
        </w:tc>
        <w:tc>
          <w:tcPr>
            <w:tcW w:w="2268" w:type="dxa"/>
            <w:vAlign w:val="center"/>
          </w:tcPr>
          <w:p w14:paraId="5ACDE6F7">
            <w:pPr>
              <w:widowControl/>
              <w:jc w:val="center"/>
              <w:rPr>
                <w:rFonts w:ascii="宋体" w:hAnsi="宋体" w:cs="宋体"/>
                <w:sz w:val="24"/>
              </w:rPr>
            </w:pPr>
            <w:r>
              <w:rPr>
                <w:rFonts w:hint="eastAsia" w:ascii="宋体" w:hAnsi="宋体" w:cs="宋体"/>
                <w:sz w:val="24"/>
              </w:rPr>
              <w:t>357.5</w:t>
            </w:r>
          </w:p>
        </w:tc>
        <w:tc>
          <w:tcPr>
            <w:tcW w:w="2268" w:type="dxa"/>
            <w:vAlign w:val="center"/>
          </w:tcPr>
          <w:p w14:paraId="157ABAF9">
            <w:pPr>
              <w:widowControl/>
              <w:jc w:val="center"/>
              <w:rPr>
                <w:rFonts w:ascii="宋体" w:hAnsi="宋体" w:cs="宋体"/>
                <w:sz w:val="24"/>
              </w:rPr>
            </w:pPr>
            <w:r>
              <w:rPr>
                <w:rFonts w:hint="eastAsia" w:ascii="宋体" w:hAnsi="宋体" w:cs="宋体"/>
                <w:sz w:val="24"/>
              </w:rPr>
              <w:t>100.00%</w:t>
            </w:r>
          </w:p>
        </w:tc>
      </w:tr>
      <w:tr w14:paraId="2EB23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3DB6DB33">
            <w:pPr>
              <w:widowControl/>
              <w:jc w:val="left"/>
              <w:rPr>
                <w:rFonts w:ascii="宋体" w:hAnsi="宋体" w:cs="宋体"/>
                <w:kern w:val="0"/>
                <w:sz w:val="24"/>
              </w:rPr>
            </w:pPr>
            <w:r>
              <w:rPr>
                <w:rFonts w:hint="eastAsia" w:ascii="宋体" w:hAnsi="宋体" w:cs="宋体"/>
                <w:sz w:val="24"/>
              </w:rPr>
              <w:t>会议费</w:t>
            </w:r>
          </w:p>
        </w:tc>
        <w:tc>
          <w:tcPr>
            <w:tcW w:w="2268" w:type="dxa"/>
            <w:vAlign w:val="center"/>
          </w:tcPr>
          <w:p w14:paraId="0F99B640">
            <w:pPr>
              <w:widowControl/>
              <w:jc w:val="center"/>
              <w:rPr>
                <w:rFonts w:ascii="宋体" w:hAnsi="宋体" w:cs="宋体"/>
                <w:kern w:val="0"/>
                <w:sz w:val="24"/>
              </w:rPr>
            </w:pPr>
            <w:r>
              <w:rPr>
                <w:rFonts w:hint="eastAsia" w:ascii="宋体" w:hAnsi="宋体" w:cs="宋体"/>
                <w:sz w:val="24"/>
              </w:rPr>
              <w:t>50</w:t>
            </w:r>
          </w:p>
        </w:tc>
        <w:tc>
          <w:tcPr>
            <w:tcW w:w="2268" w:type="dxa"/>
            <w:vAlign w:val="center"/>
          </w:tcPr>
          <w:p w14:paraId="15447E61">
            <w:pPr>
              <w:widowControl/>
              <w:jc w:val="center"/>
              <w:rPr>
                <w:rFonts w:ascii="宋体" w:hAnsi="宋体" w:cs="宋体"/>
                <w:sz w:val="24"/>
              </w:rPr>
            </w:pPr>
            <w:r>
              <w:rPr>
                <w:rFonts w:hint="eastAsia" w:ascii="宋体" w:hAnsi="宋体" w:cs="宋体"/>
                <w:sz w:val="24"/>
              </w:rPr>
              <w:t>-14</w:t>
            </w:r>
          </w:p>
        </w:tc>
        <w:tc>
          <w:tcPr>
            <w:tcW w:w="2268" w:type="dxa"/>
            <w:vAlign w:val="center"/>
          </w:tcPr>
          <w:p w14:paraId="34942C0A">
            <w:pPr>
              <w:widowControl/>
              <w:jc w:val="center"/>
              <w:rPr>
                <w:rFonts w:ascii="宋体" w:hAnsi="宋体" w:cs="宋体"/>
                <w:sz w:val="24"/>
              </w:rPr>
            </w:pPr>
            <w:r>
              <w:rPr>
                <w:rFonts w:hint="eastAsia" w:ascii="宋体" w:hAnsi="宋体" w:cs="宋体"/>
                <w:sz w:val="24"/>
              </w:rPr>
              <w:t>36</w:t>
            </w:r>
          </w:p>
        </w:tc>
        <w:tc>
          <w:tcPr>
            <w:tcW w:w="2268" w:type="dxa"/>
            <w:vAlign w:val="center"/>
          </w:tcPr>
          <w:p w14:paraId="7269E8A0">
            <w:pPr>
              <w:widowControl/>
              <w:jc w:val="center"/>
              <w:rPr>
                <w:rFonts w:ascii="宋体" w:hAnsi="宋体" w:cs="宋体"/>
                <w:sz w:val="24"/>
              </w:rPr>
            </w:pPr>
            <w:r>
              <w:rPr>
                <w:rFonts w:hint="eastAsia" w:ascii="宋体" w:hAnsi="宋体" w:cs="宋体"/>
                <w:sz w:val="24"/>
              </w:rPr>
              <w:t>33.35</w:t>
            </w:r>
          </w:p>
        </w:tc>
        <w:tc>
          <w:tcPr>
            <w:tcW w:w="2268" w:type="dxa"/>
            <w:vAlign w:val="center"/>
          </w:tcPr>
          <w:p w14:paraId="3B155EBF">
            <w:pPr>
              <w:widowControl/>
              <w:jc w:val="center"/>
              <w:rPr>
                <w:rFonts w:ascii="宋体" w:hAnsi="宋体" w:cs="宋体"/>
                <w:sz w:val="24"/>
              </w:rPr>
            </w:pPr>
            <w:r>
              <w:rPr>
                <w:rFonts w:hint="eastAsia" w:ascii="宋体" w:hAnsi="宋体" w:cs="宋体"/>
                <w:sz w:val="24"/>
              </w:rPr>
              <w:t>92.64%</w:t>
            </w:r>
          </w:p>
        </w:tc>
      </w:tr>
      <w:tr w14:paraId="2D417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553D5BB7">
            <w:pPr>
              <w:widowControl/>
              <w:jc w:val="left"/>
              <w:rPr>
                <w:rFonts w:ascii="宋体" w:hAnsi="宋体" w:cs="宋体"/>
                <w:kern w:val="0"/>
                <w:sz w:val="24"/>
              </w:rPr>
            </w:pPr>
            <w:r>
              <w:rPr>
                <w:rFonts w:hint="eastAsia" w:ascii="宋体" w:hAnsi="宋体" w:cs="宋体"/>
                <w:sz w:val="24"/>
              </w:rPr>
              <w:t>禁化武日常工作经费</w:t>
            </w:r>
          </w:p>
        </w:tc>
        <w:tc>
          <w:tcPr>
            <w:tcW w:w="2268" w:type="dxa"/>
            <w:vAlign w:val="center"/>
          </w:tcPr>
          <w:p w14:paraId="3C734F79">
            <w:pPr>
              <w:widowControl/>
              <w:jc w:val="center"/>
              <w:rPr>
                <w:rFonts w:ascii="宋体" w:hAnsi="宋体" w:cs="宋体"/>
                <w:kern w:val="0"/>
                <w:sz w:val="24"/>
              </w:rPr>
            </w:pPr>
            <w:r>
              <w:rPr>
                <w:rFonts w:hint="eastAsia" w:ascii="宋体" w:hAnsi="宋体" w:cs="宋体"/>
                <w:sz w:val="24"/>
              </w:rPr>
              <w:t>10</w:t>
            </w:r>
          </w:p>
        </w:tc>
        <w:tc>
          <w:tcPr>
            <w:tcW w:w="2268" w:type="dxa"/>
            <w:vAlign w:val="center"/>
          </w:tcPr>
          <w:p w14:paraId="69905EBA">
            <w:pPr>
              <w:widowControl/>
              <w:jc w:val="center"/>
              <w:rPr>
                <w:rFonts w:ascii="宋体" w:hAnsi="宋体" w:cs="宋体"/>
                <w:sz w:val="24"/>
              </w:rPr>
            </w:pPr>
          </w:p>
        </w:tc>
        <w:tc>
          <w:tcPr>
            <w:tcW w:w="2268" w:type="dxa"/>
            <w:vAlign w:val="center"/>
          </w:tcPr>
          <w:p w14:paraId="4710F23D">
            <w:pPr>
              <w:widowControl/>
              <w:jc w:val="center"/>
              <w:rPr>
                <w:rFonts w:ascii="宋体" w:hAnsi="宋体" w:cs="宋体"/>
                <w:sz w:val="24"/>
              </w:rPr>
            </w:pPr>
            <w:r>
              <w:rPr>
                <w:rFonts w:hint="eastAsia" w:ascii="宋体" w:hAnsi="宋体" w:cs="宋体"/>
                <w:sz w:val="24"/>
              </w:rPr>
              <w:t>10</w:t>
            </w:r>
          </w:p>
        </w:tc>
        <w:tc>
          <w:tcPr>
            <w:tcW w:w="2268" w:type="dxa"/>
            <w:vAlign w:val="center"/>
          </w:tcPr>
          <w:p w14:paraId="36D7CD43">
            <w:pPr>
              <w:widowControl/>
              <w:jc w:val="center"/>
              <w:rPr>
                <w:rFonts w:ascii="宋体" w:hAnsi="宋体" w:cs="宋体"/>
                <w:sz w:val="24"/>
              </w:rPr>
            </w:pPr>
            <w:r>
              <w:rPr>
                <w:rFonts w:hint="eastAsia" w:ascii="宋体" w:hAnsi="宋体" w:cs="宋体"/>
                <w:sz w:val="24"/>
              </w:rPr>
              <w:t>9.84</w:t>
            </w:r>
          </w:p>
        </w:tc>
        <w:tc>
          <w:tcPr>
            <w:tcW w:w="2268" w:type="dxa"/>
            <w:vAlign w:val="center"/>
          </w:tcPr>
          <w:p w14:paraId="61FC0E75">
            <w:pPr>
              <w:widowControl/>
              <w:jc w:val="center"/>
              <w:rPr>
                <w:rFonts w:ascii="宋体" w:hAnsi="宋体" w:cs="宋体"/>
                <w:sz w:val="24"/>
              </w:rPr>
            </w:pPr>
            <w:r>
              <w:rPr>
                <w:rFonts w:hint="eastAsia" w:ascii="宋体" w:hAnsi="宋体" w:cs="宋体"/>
                <w:sz w:val="24"/>
              </w:rPr>
              <w:t>98.40%</w:t>
            </w:r>
          </w:p>
        </w:tc>
      </w:tr>
      <w:tr w14:paraId="2BB9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319F968B">
            <w:pPr>
              <w:widowControl/>
              <w:jc w:val="left"/>
              <w:rPr>
                <w:rFonts w:ascii="宋体" w:hAnsi="宋体" w:cs="宋体"/>
                <w:kern w:val="0"/>
                <w:sz w:val="24"/>
              </w:rPr>
            </w:pPr>
            <w:r>
              <w:rPr>
                <w:rFonts w:hint="eastAsia" w:ascii="宋体" w:hAnsi="宋体" w:cs="宋体"/>
                <w:sz w:val="24"/>
              </w:rPr>
              <w:t>民爆船舶安全生产专业委员会工作经费</w:t>
            </w:r>
          </w:p>
        </w:tc>
        <w:tc>
          <w:tcPr>
            <w:tcW w:w="2268" w:type="dxa"/>
            <w:vAlign w:val="center"/>
          </w:tcPr>
          <w:p w14:paraId="432B7DE6">
            <w:pPr>
              <w:widowControl/>
              <w:jc w:val="center"/>
              <w:rPr>
                <w:rFonts w:ascii="宋体" w:hAnsi="宋体" w:cs="宋体"/>
                <w:kern w:val="0"/>
                <w:sz w:val="24"/>
              </w:rPr>
            </w:pPr>
            <w:r>
              <w:rPr>
                <w:rFonts w:hint="eastAsia" w:ascii="宋体" w:hAnsi="宋体" w:cs="宋体"/>
                <w:sz w:val="24"/>
              </w:rPr>
              <w:t>12</w:t>
            </w:r>
          </w:p>
        </w:tc>
        <w:tc>
          <w:tcPr>
            <w:tcW w:w="2268" w:type="dxa"/>
            <w:vAlign w:val="center"/>
          </w:tcPr>
          <w:p w14:paraId="088576D6">
            <w:pPr>
              <w:widowControl/>
              <w:jc w:val="center"/>
              <w:rPr>
                <w:rFonts w:ascii="宋体" w:hAnsi="宋体" w:cs="宋体"/>
                <w:sz w:val="24"/>
              </w:rPr>
            </w:pPr>
            <w:r>
              <w:rPr>
                <w:rFonts w:hint="eastAsia" w:ascii="宋体" w:hAnsi="宋体" w:cs="宋体"/>
                <w:sz w:val="24"/>
              </w:rPr>
              <w:t>4</w:t>
            </w:r>
          </w:p>
        </w:tc>
        <w:tc>
          <w:tcPr>
            <w:tcW w:w="2268" w:type="dxa"/>
            <w:vAlign w:val="center"/>
          </w:tcPr>
          <w:p w14:paraId="51B73DC2">
            <w:pPr>
              <w:widowControl/>
              <w:jc w:val="center"/>
              <w:rPr>
                <w:rFonts w:ascii="宋体" w:hAnsi="宋体" w:cs="宋体"/>
                <w:sz w:val="24"/>
              </w:rPr>
            </w:pPr>
            <w:r>
              <w:rPr>
                <w:rFonts w:hint="eastAsia" w:ascii="宋体" w:hAnsi="宋体" w:cs="宋体"/>
                <w:sz w:val="24"/>
              </w:rPr>
              <w:t>16</w:t>
            </w:r>
          </w:p>
        </w:tc>
        <w:tc>
          <w:tcPr>
            <w:tcW w:w="2268" w:type="dxa"/>
            <w:vAlign w:val="center"/>
          </w:tcPr>
          <w:p w14:paraId="014968D9">
            <w:pPr>
              <w:widowControl/>
              <w:jc w:val="center"/>
              <w:rPr>
                <w:rFonts w:ascii="宋体" w:hAnsi="宋体" w:cs="宋体"/>
                <w:sz w:val="24"/>
              </w:rPr>
            </w:pPr>
            <w:r>
              <w:rPr>
                <w:rFonts w:hint="eastAsia" w:ascii="宋体" w:hAnsi="宋体" w:cs="宋体"/>
                <w:sz w:val="24"/>
              </w:rPr>
              <w:t>16</w:t>
            </w:r>
          </w:p>
        </w:tc>
        <w:tc>
          <w:tcPr>
            <w:tcW w:w="2268" w:type="dxa"/>
            <w:vAlign w:val="center"/>
          </w:tcPr>
          <w:p w14:paraId="68AB0EAF">
            <w:pPr>
              <w:widowControl/>
              <w:jc w:val="center"/>
              <w:rPr>
                <w:rFonts w:ascii="宋体" w:hAnsi="宋体" w:cs="宋体"/>
                <w:sz w:val="24"/>
              </w:rPr>
            </w:pPr>
            <w:r>
              <w:rPr>
                <w:rFonts w:hint="eastAsia" w:ascii="宋体" w:hAnsi="宋体" w:cs="宋体"/>
                <w:sz w:val="24"/>
              </w:rPr>
              <w:t>100.00%</w:t>
            </w:r>
          </w:p>
        </w:tc>
      </w:tr>
      <w:tr w14:paraId="4CAB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5E123DDF">
            <w:pPr>
              <w:widowControl/>
              <w:jc w:val="left"/>
              <w:rPr>
                <w:rFonts w:ascii="宋体" w:hAnsi="宋体" w:cs="宋体"/>
                <w:kern w:val="0"/>
                <w:sz w:val="24"/>
              </w:rPr>
            </w:pPr>
            <w:r>
              <w:rPr>
                <w:rFonts w:hint="eastAsia" w:ascii="宋体" w:hAnsi="宋体" w:cs="宋体"/>
                <w:sz w:val="24"/>
              </w:rPr>
              <w:t>市化治办日常办公经费</w:t>
            </w:r>
          </w:p>
        </w:tc>
        <w:tc>
          <w:tcPr>
            <w:tcW w:w="2268" w:type="dxa"/>
            <w:vAlign w:val="center"/>
          </w:tcPr>
          <w:p w14:paraId="55B2D582">
            <w:pPr>
              <w:widowControl/>
              <w:jc w:val="center"/>
              <w:rPr>
                <w:rFonts w:ascii="宋体" w:hAnsi="宋体" w:cs="宋体"/>
                <w:kern w:val="0"/>
                <w:sz w:val="24"/>
              </w:rPr>
            </w:pPr>
            <w:r>
              <w:rPr>
                <w:rFonts w:hint="eastAsia" w:ascii="宋体" w:hAnsi="宋体" w:cs="宋体"/>
                <w:sz w:val="24"/>
              </w:rPr>
              <w:t>10</w:t>
            </w:r>
          </w:p>
        </w:tc>
        <w:tc>
          <w:tcPr>
            <w:tcW w:w="2268" w:type="dxa"/>
            <w:vAlign w:val="center"/>
          </w:tcPr>
          <w:p w14:paraId="42B69D12">
            <w:pPr>
              <w:widowControl/>
              <w:jc w:val="center"/>
              <w:rPr>
                <w:rFonts w:ascii="宋体" w:hAnsi="宋体" w:cs="宋体"/>
                <w:sz w:val="24"/>
              </w:rPr>
            </w:pPr>
          </w:p>
        </w:tc>
        <w:tc>
          <w:tcPr>
            <w:tcW w:w="2268" w:type="dxa"/>
            <w:vAlign w:val="center"/>
          </w:tcPr>
          <w:p w14:paraId="07C3F18A">
            <w:pPr>
              <w:widowControl/>
              <w:jc w:val="center"/>
              <w:rPr>
                <w:rFonts w:ascii="宋体" w:hAnsi="宋体" w:cs="宋体"/>
                <w:sz w:val="24"/>
              </w:rPr>
            </w:pPr>
            <w:r>
              <w:rPr>
                <w:rFonts w:hint="eastAsia" w:ascii="宋体" w:hAnsi="宋体" w:cs="宋体"/>
                <w:sz w:val="24"/>
              </w:rPr>
              <w:t>10</w:t>
            </w:r>
          </w:p>
        </w:tc>
        <w:tc>
          <w:tcPr>
            <w:tcW w:w="2268" w:type="dxa"/>
            <w:vAlign w:val="center"/>
          </w:tcPr>
          <w:p w14:paraId="0B8457BB">
            <w:pPr>
              <w:widowControl/>
              <w:jc w:val="center"/>
              <w:rPr>
                <w:rFonts w:ascii="宋体" w:hAnsi="宋体" w:cs="宋体"/>
                <w:sz w:val="24"/>
              </w:rPr>
            </w:pPr>
            <w:r>
              <w:rPr>
                <w:rFonts w:hint="eastAsia" w:ascii="宋体" w:hAnsi="宋体" w:cs="宋体"/>
                <w:sz w:val="24"/>
              </w:rPr>
              <w:t>9.15</w:t>
            </w:r>
          </w:p>
        </w:tc>
        <w:tc>
          <w:tcPr>
            <w:tcW w:w="2268" w:type="dxa"/>
            <w:vAlign w:val="center"/>
          </w:tcPr>
          <w:p w14:paraId="34E24715">
            <w:pPr>
              <w:widowControl/>
              <w:jc w:val="center"/>
              <w:rPr>
                <w:rFonts w:ascii="宋体" w:hAnsi="宋体" w:cs="宋体"/>
                <w:sz w:val="24"/>
              </w:rPr>
            </w:pPr>
            <w:r>
              <w:rPr>
                <w:rFonts w:hint="eastAsia" w:ascii="宋体" w:hAnsi="宋体" w:cs="宋体"/>
                <w:sz w:val="24"/>
              </w:rPr>
              <w:t>91.50%</w:t>
            </w:r>
          </w:p>
        </w:tc>
      </w:tr>
      <w:tr w14:paraId="01D3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0C63F9AE">
            <w:pPr>
              <w:widowControl/>
              <w:jc w:val="left"/>
              <w:rPr>
                <w:rFonts w:ascii="宋体" w:hAnsi="宋体" w:cs="宋体"/>
                <w:kern w:val="0"/>
                <w:sz w:val="24"/>
              </w:rPr>
            </w:pPr>
            <w:r>
              <w:rPr>
                <w:rFonts w:hint="eastAsia" w:ascii="宋体" w:hAnsi="宋体" w:cs="宋体"/>
                <w:sz w:val="24"/>
              </w:rPr>
              <w:t>市级打造先进制造业基地专项资金</w:t>
            </w:r>
          </w:p>
        </w:tc>
        <w:tc>
          <w:tcPr>
            <w:tcW w:w="2268" w:type="dxa"/>
            <w:vAlign w:val="center"/>
          </w:tcPr>
          <w:p w14:paraId="228301C1">
            <w:pPr>
              <w:widowControl/>
              <w:jc w:val="center"/>
              <w:rPr>
                <w:rFonts w:ascii="宋体" w:hAnsi="宋体" w:cs="宋体"/>
                <w:kern w:val="0"/>
                <w:sz w:val="24"/>
              </w:rPr>
            </w:pPr>
            <w:r>
              <w:rPr>
                <w:rFonts w:hint="eastAsia" w:ascii="宋体" w:hAnsi="宋体" w:cs="宋体"/>
                <w:sz w:val="24"/>
              </w:rPr>
              <w:t>66480</w:t>
            </w:r>
          </w:p>
        </w:tc>
        <w:tc>
          <w:tcPr>
            <w:tcW w:w="2268" w:type="dxa"/>
            <w:vAlign w:val="center"/>
          </w:tcPr>
          <w:p w14:paraId="379DF43F">
            <w:pPr>
              <w:widowControl/>
              <w:jc w:val="center"/>
              <w:rPr>
                <w:rFonts w:ascii="宋体" w:hAnsi="宋体" w:cs="宋体"/>
                <w:sz w:val="24"/>
              </w:rPr>
            </w:pPr>
          </w:p>
        </w:tc>
        <w:tc>
          <w:tcPr>
            <w:tcW w:w="2268" w:type="dxa"/>
            <w:vAlign w:val="center"/>
          </w:tcPr>
          <w:p w14:paraId="7E56CD24">
            <w:pPr>
              <w:widowControl/>
              <w:jc w:val="center"/>
              <w:rPr>
                <w:rFonts w:ascii="宋体" w:hAnsi="宋体" w:cs="宋体"/>
                <w:sz w:val="24"/>
              </w:rPr>
            </w:pPr>
            <w:r>
              <w:rPr>
                <w:rFonts w:hint="eastAsia" w:ascii="宋体" w:hAnsi="宋体" w:cs="宋体"/>
                <w:sz w:val="24"/>
              </w:rPr>
              <w:t>66480</w:t>
            </w:r>
          </w:p>
        </w:tc>
        <w:tc>
          <w:tcPr>
            <w:tcW w:w="2268" w:type="dxa"/>
            <w:vAlign w:val="center"/>
          </w:tcPr>
          <w:p w14:paraId="223C0E74">
            <w:pPr>
              <w:widowControl/>
              <w:jc w:val="center"/>
              <w:rPr>
                <w:rFonts w:ascii="宋体" w:hAnsi="宋体" w:cs="宋体"/>
                <w:sz w:val="24"/>
              </w:rPr>
            </w:pPr>
            <w:r>
              <w:rPr>
                <w:rFonts w:hint="eastAsia" w:ascii="宋体" w:hAnsi="宋体" w:cs="宋体"/>
                <w:sz w:val="24"/>
              </w:rPr>
              <w:t>65241.17</w:t>
            </w:r>
          </w:p>
        </w:tc>
        <w:tc>
          <w:tcPr>
            <w:tcW w:w="2268" w:type="dxa"/>
            <w:vAlign w:val="center"/>
          </w:tcPr>
          <w:p w14:paraId="732A21AA">
            <w:pPr>
              <w:widowControl/>
              <w:jc w:val="center"/>
              <w:rPr>
                <w:rFonts w:ascii="宋体" w:hAnsi="宋体" w:cs="宋体"/>
                <w:sz w:val="24"/>
              </w:rPr>
            </w:pPr>
            <w:r>
              <w:rPr>
                <w:rFonts w:hint="eastAsia" w:ascii="宋体" w:hAnsi="宋体" w:cs="宋体"/>
                <w:sz w:val="24"/>
              </w:rPr>
              <w:t>98.14%</w:t>
            </w:r>
          </w:p>
        </w:tc>
      </w:tr>
      <w:tr w14:paraId="35239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4EDC5EC3">
            <w:pPr>
              <w:widowControl/>
              <w:jc w:val="left"/>
              <w:rPr>
                <w:rFonts w:ascii="宋体" w:hAnsi="宋体" w:cs="宋体"/>
                <w:kern w:val="0"/>
                <w:sz w:val="24"/>
              </w:rPr>
            </w:pPr>
            <w:r>
              <w:rPr>
                <w:rFonts w:hint="eastAsia" w:ascii="宋体" w:hAnsi="宋体" w:cs="宋体"/>
                <w:sz w:val="24"/>
              </w:rPr>
              <w:t>培训费</w:t>
            </w:r>
          </w:p>
        </w:tc>
        <w:tc>
          <w:tcPr>
            <w:tcW w:w="2268" w:type="dxa"/>
            <w:vAlign w:val="center"/>
          </w:tcPr>
          <w:p w14:paraId="012D9AD9">
            <w:pPr>
              <w:widowControl/>
              <w:jc w:val="center"/>
              <w:rPr>
                <w:rFonts w:ascii="宋体" w:hAnsi="宋体" w:cs="宋体"/>
                <w:kern w:val="0"/>
                <w:sz w:val="24"/>
              </w:rPr>
            </w:pPr>
            <w:r>
              <w:rPr>
                <w:rFonts w:hint="eastAsia" w:ascii="宋体" w:hAnsi="宋体" w:cs="宋体"/>
                <w:sz w:val="24"/>
              </w:rPr>
              <w:t>25.9</w:t>
            </w:r>
          </w:p>
        </w:tc>
        <w:tc>
          <w:tcPr>
            <w:tcW w:w="2268" w:type="dxa"/>
            <w:vAlign w:val="center"/>
          </w:tcPr>
          <w:p w14:paraId="25E4FA62">
            <w:pPr>
              <w:widowControl/>
              <w:jc w:val="center"/>
              <w:rPr>
                <w:rFonts w:ascii="宋体" w:hAnsi="宋体" w:cs="宋体"/>
                <w:sz w:val="24"/>
              </w:rPr>
            </w:pPr>
            <w:r>
              <w:rPr>
                <w:rFonts w:hint="eastAsia" w:ascii="宋体" w:hAnsi="宋体" w:cs="宋体"/>
                <w:sz w:val="24"/>
              </w:rPr>
              <w:t>-13</w:t>
            </w:r>
          </w:p>
        </w:tc>
        <w:tc>
          <w:tcPr>
            <w:tcW w:w="2268" w:type="dxa"/>
            <w:vAlign w:val="center"/>
          </w:tcPr>
          <w:p w14:paraId="7790CB45">
            <w:pPr>
              <w:widowControl/>
              <w:jc w:val="center"/>
              <w:rPr>
                <w:rFonts w:ascii="宋体" w:hAnsi="宋体" w:cs="宋体"/>
                <w:sz w:val="24"/>
              </w:rPr>
            </w:pPr>
            <w:r>
              <w:rPr>
                <w:rFonts w:hint="eastAsia" w:ascii="宋体" w:hAnsi="宋体" w:cs="宋体"/>
                <w:sz w:val="24"/>
              </w:rPr>
              <w:t>12.9</w:t>
            </w:r>
          </w:p>
        </w:tc>
        <w:tc>
          <w:tcPr>
            <w:tcW w:w="2268" w:type="dxa"/>
            <w:vAlign w:val="center"/>
          </w:tcPr>
          <w:p w14:paraId="290BB3FE">
            <w:pPr>
              <w:widowControl/>
              <w:jc w:val="center"/>
              <w:rPr>
                <w:rFonts w:ascii="宋体" w:hAnsi="宋体" w:cs="宋体"/>
                <w:sz w:val="24"/>
              </w:rPr>
            </w:pPr>
            <w:r>
              <w:rPr>
                <w:rFonts w:hint="eastAsia" w:ascii="宋体" w:hAnsi="宋体" w:cs="宋体"/>
                <w:sz w:val="24"/>
              </w:rPr>
              <w:t>11.28</w:t>
            </w:r>
          </w:p>
        </w:tc>
        <w:tc>
          <w:tcPr>
            <w:tcW w:w="2268" w:type="dxa"/>
            <w:vAlign w:val="center"/>
          </w:tcPr>
          <w:p w14:paraId="326D86E6">
            <w:pPr>
              <w:widowControl/>
              <w:jc w:val="center"/>
              <w:rPr>
                <w:rFonts w:ascii="宋体" w:hAnsi="宋体" w:cs="宋体"/>
                <w:sz w:val="24"/>
              </w:rPr>
            </w:pPr>
            <w:r>
              <w:rPr>
                <w:rFonts w:hint="eastAsia" w:ascii="宋体" w:hAnsi="宋体" w:cs="宋体"/>
                <w:sz w:val="24"/>
              </w:rPr>
              <w:t>87.44%</w:t>
            </w:r>
          </w:p>
        </w:tc>
      </w:tr>
      <w:tr w14:paraId="73F8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41703F0C">
            <w:pPr>
              <w:widowControl/>
              <w:jc w:val="left"/>
              <w:rPr>
                <w:rFonts w:ascii="宋体" w:hAnsi="宋体" w:cs="宋体"/>
                <w:kern w:val="0"/>
                <w:sz w:val="24"/>
              </w:rPr>
            </w:pPr>
            <w:r>
              <w:rPr>
                <w:rFonts w:hint="eastAsia" w:ascii="宋体" w:hAnsi="宋体" w:cs="宋体"/>
                <w:sz w:val="24"/>
              </w:rPr>
              <w:t>苏州市自主品牌大企业和领军企业先进技术研究院奖补资金</w:t>
            </w:r>
          </w:p>
        </w:tc>
        <w:tc>
          <w:tcPr>
            <w:tcW w:w="2268" w:type="dxa"/>
            <w:vAlign w:val="center"/>
          </w:tcPr>
          <w:p w14:paraId="0069987F">
            <w:pPr>
              <w:widowControl/>
              <w:jc w:val="center"/>
              <w:rPr>
                <w:rFonts w:ascii="宋体" w:hAnsi="宋体" w:cs="宋体"/>
                <w:kern w:val="0"/>
                <w:sz w:val="24"/>
              </w:rPr>
            </w:pPr>
            <w:r>
              <w:rPr>
                <w:rFonts w:hint="eastAsia" w:ascii="宋体" w:hAnsi="宋体" w:cs="宋体"/>
                <w:sz w:val="24"/>
              </w:rPr>
              <w:t>9400</w:t>
            </w:r>
          </w:p>
        </w:tc>
        <w:tc>
          <w:tcPr>
            <w:tcW w:w="2268" w:type="dxa"/>
            <w:vAlign w:val="center"/>
          </w:tcPr>
          <w:p w14:paraId="6C2AC001">
            <w:pPr>
              <w:widowControl/>
              <w:jc w:val="center"/>
              <w:rPr>
                <w:rFonts w:ascii="宋体" w:hAnsi="宋体" w:cs="宋体"/>
                <w:sz w:val="24"/>
              </w:rPr>
            </w:pPr>
          </w:p>
        </w:tc>
        <w:tc>
          <w:tcPr>
            <w:tcW w:w="2268" w:type="dxa"/>
            <w:vAlign w:val="center"/>
          </w:tcPr>
          <w:p w14:paraId="7F00F9CF">
            <w:pPr>
              <w:widowControl/>
              <w:jc w:val="center"/>
              <w:rPr>
                <w:rFonts w:ascii="宋体" w:hAnsi="宋体" w:cs="宋体"/>
                <w:sz w:val="24"/>
              </w:rPr>
            </w:pPr>
            <w:r>
              <w:rPr>
                <w:rFonts w:hint="eastAsia" w:ascii="宋体" w:hAnsi="宋体" w:cs="宋体"/>
                <w:sz w:val="24"/>
              </w:rPr>
              <w:t>9400</w:t>
            </w:r>
          </w:p>
        </w:tc>
        <w:tc>
          <w:tcPr>
            <w:tcW w:w="2268" w:type="dxa"/>
            <w:vAlign w:val="center"/>
          </w:tcPr>
          <w:p w14:paraId="4510A161">
            <w:pPr>
              <w:widowControl/>
              <w:jc w:val="center"/>
              <w:rPr>
                <w:rFonts w:ascii="宋体" w:hAnsi="宋体" w:cs="宋体"/>
                <w:sz w:val="24"/>
              </w:rPr>
            </w:pPr>
            <w:r>
              <w:rPr>
                <w:rFonts w:hint="eastAsia" w:ascii="宋体" w:hAnsi="宋体" w:cs="宋体"/>
                <w:sz w:val="24"/>
              </w:rPr>
              <w:t>9400</w:t>
            </w:r>
          </w:p>
        </w:tc>
        <w:tc>
          <w:tcPr>
            <w:tcW w:w="2268" w:type="dxa"/>
            <w:vAlign w:val="center"/>
          </w:tcPr>
          <w:p w14:paraId="07762C3C">
            <w:pPr>
              <w:widowControl/>
              <w:jc w:val="center"/>
              <w:rPr>
                <w:rFonts w:ascii="宋体" w:hAnsi="宋体" w:cs="宋体"/>
                <w:sz w:val="24"/>
              </w:rPr>
            </w:pPr>
            <w:r>
              <w:rPr>
                <w:rFonts w:hint="eastAsia" w:ascii="宋体" w:hAnsi="宋体" w:cs="宋体"/>
                <w:sz w:val="24"/>
              </w:rPr>
              <w:t>100.00%</w:t>
            </w:r>
          </w:p>
        </w:tc>
      </w:tr>
      <w:tr w14:paraId="6F90E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3EBA7391">
            <w:pPr>
              <w:widowControl/>
              <w:jc w:val="left"/>
              <w:rPr>
                <w:rFonts w:ascii="宋体" w:hAnsi="宋体" w:cs="宋体"/>
                <w:kern w:val="0"/>
                <w:sz w:val="24"/>
              </w:rPr>
            </w:pPr>
            <w:r>
              <w:rPr>
                <w:rFonts w:hint="eastAsia" w:ascii="宋体" w:hAnsi="宋体" w:cs="宋体"/>
                <w:sz w:val="24"/>
              </w:rPr>
              <w:t>体检费</w:t>
            </w:r>
          </w:p>
        </w:tc>
        <w:tc>
          <w:tcPr>
            <w:tcW w:w="2268" w:type="dxa"/>
            <w:vAlign w:val="center"/>
          </w:tcPr>
          <w:p w14:paraId="2CBF66EB">
            <w:pPr>
              <w:widowControl/>
              <w:jc w:val="center"/>
              <w:rPr>
                <w:rFonts w:ascii="宋体" w:hAnsi="宋体" w:cs="宋体"/>
                <w:kern w:val="0"/>
                <w:sz w:val="24"/>
              </w:rPr>
            </w:pPr>
            <w:r>
              <w:rPr>
                <w:rFonts w:hint="eastAsia" w:ascii="宋体" w:hAnsi="宋体" w:cs="宋体"/>
                <w:sz w:val="24"/>
              </w:rPr>
              <w:t>38.32</w:t>
            </w:r>
          </w:p>
        </w:tc>
        <w:tc>
          <w:tcPr>
            <w:tcW w:w="2268" w:type="dxa"/>
            <w:vAlign w:val="center"/>
          </w:tcPr>
          <w:p w14:paraId="622B0E42">
            <w:pPr>
              <w:widowControl/>
              <w:jc w:val="center"/>
              <w:rPr>
                <w:rFonts w:ascii="宋体" w:hAnsi="宋体" w:cs="宋体"/>
                <w:sz w:val="24"/>
              </w:rPr>
            </w:pPr>
          </w:p>
        </w:tc>
        <w:tc>
          <w:tcPr>
            <w:tcW w:w="2268" w:type="dxa"/>
            <w:vAlign w:val="center"/>
          </w:tcPr>
          <w:p w14:paraId="31FD4241">
            <w:pPr>
              <w:widowControl/>
              <w:jc w:val="center"/>
              <w:rPr>
                <w:rFonts w:ascii="宋体" w:hAnsi="宋体" w:cs="宋体"/>
                <w:sz w:val="24"/>
              </w:rPr>
            </w:pPr>
            <w:r>
              <w:rPr>
                <w:rFonts w:hint="eastAsia" w:ascii="宋体" w:hAnsi="宋体" w:cs="宋体"/>
                <w:sz w:val="24"/>
              </w:rPr>
              <w:t>38.32</w:t>
            </w:r>
          </w:p>
        </w:tc>
        <w:tc>
          <w:tcPr>
            <w:tcW w:w="2268" w:type="dxa"/>
            <w:vAlign w:val="center"/>
          </w:tcPr>
          <w:p w14:paraId="7B82BDA6">
            <w:pPr>
              <w:widowControl/>
              <w:jc w:val="center"/>
              <w:rPr>
                <w:rFonts w:ascii="宋体" w:hAnsi="宋体" w:cs="宋体"/>
                <w:sz w:val="24"/>
              </w:rPr>
            </w:pPr>
            <w:r>
              <w:rPr>
                <w:rFonts w:hint="eastAsia" w:ascii="宋体" w:hAnsi="宋体" w:cs="宋体"/>
                <w:sz w:val="24"/>
              </w:rPr>
              <w:t>37.47</w:t>
            </w:r>
          </w:p>
        </w:tc>
        <w:tc>
          <w:tcPr>
            <w:tcW w:w="2268" w:type="dxa"/>
            <w:vAlign w:val="center"/>
          </w:tcPr>
          <w:p w14:paraId="1E174B59">
            <w:pPr>
              <w:widowControl/>
              <w:jc w:val="center"/>
              <w:rPr>
                <w:rFonts w:ascii="宋体" w:hAnsi="宋体" w:cs="宋体"/>
                <w:sz w:val="24"/>
              </w:rPr>
            </w:pPr>
            <w:r>
              <w:rPr>
                <w:rFonts w:hint="eastAsia" w:ascii="宋体" w:hAnsi="宋体" w:cs="宋体"/>
                <w:sz w:val="24"/>
              </w:rPr>
              <w:t>97.78%</w:t>
            </w:r>
          </w:p>
        </w:tc>
      </w:tr>
      <w:tr w14:paraId="4DBE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0A67B77A">
            <w:pPr>
              <w:widowControl/>
              <w:jc w:val="left"/>
              <w:rPr>
                <w:rFonts w:ascii="宋体" w:hAnsi="宋体" w:cs="宋体"/>
                <w:kern w:val="0"/>
                <w:sz w:val="24"/>
              </w:rPr>
            </w:pPr>
            <w:r>
              <w:rPr>
                <w:rFonts w:hint="eastAsia" w:ascii="宋体" w:hAnsi="宋体" w:cs="宋体"/>
                <w:sz w:val="24"/>
              </w:rPr>
              <w:t>网络安全专项</w:t>
            </w:r>
          </w:p>
        </w:tc>
        <w:tc>
          <w:tcPr>
            <w:tcW w:w="2268" w:type="dxa"/>
            <w:vAlign w:val="center"/>
          </w:tcPr>
          <w:p w14:paraId="391D678D">
            <w:pPr>
              <w:widowControl/>
              <w:jc w:val="center"/>
              <w:rPr>
                <w:rFonts w:ascii="宋体" w:hAnsi="宋体" w:cs="宋体"/>
                <w:kern w:val="0"/>
                <w:sz w:val="24"/>
              </w:rPr>
            </w:pPr>
            <w:r>
              <w:rPr>
                <w:rFonts w:hint="eastAsia" w:ascii="宋体" w:hAnsi="宋体" w:cs="宋体"/>
                <w:sz w:val="24"/>
              </w:rPr>
              <w:t>16.6</w:t>
            </w:r>
          </w:p>
        </w:tc>
        <w:tc>
          <w:tcPr>
            <w:tcW w:w="2268" w:type="dxa"/>
            <w:vAlign w:val="center"/>
          </w:tcPr>
          <w:p w14:paraId="48AFB719">
            <w:pPr>
              <w:widowControl/>
              <w:jc w:val="center"/>
              <w:rPr>
                <w:rFonts w:ascii="宋体" w:hAnsi="宋体" w:cs="宋体"/>
                <w:sz w:val="24"/>
              </w:rPr>
            </w:pPr>
          </w:p>
        </w:tc>
        <w:tc>
          <w:tcPr>
            <w:tcW w:w="2268" w:type="dxa"/>
            <w:vAlign w:val="center"/>
          </w:tcPr>
          <w:p w14:paraId="1815F119">
            <w:pPr>
              <w:widowControl/>
              <w:jc w:val="center"/>
              <w:rPr>
                <w:rFonts w:ascii="宋体" w:hAnsi="宋体" w:cs="宋体"/>
                <w:sz w:val="24"/>
              </w:rPr>
            </w:pPr>
            <w:r>
              <w:rPr>
                <w:rFonts w:hint="eastAsia" w:ascii="宋体" w:hAnsi="宋体" w:cs="宋体"/>
                <w:sz w:val="24"/>
              </w:rPr>
              <w:t>16.6</w:t>
            </w:r>
          </w:p>
        </w:tc>
        <w:tc>
          <w:tcPr>
            <w:tcW w:w="2268" w:type="dxa"/>
            <w:vAlign w:val="center"/>
          </w:tcPr>
          <w:p w14:paraId="4E9941C1">
            <w:pPr>
              <w:widowControl/>
              <w:jc w:val="center"/>
              <w:rPr>
                <w:rFonts w:ascii="宋体" w:hAnsi="宋体" w:cs="宋体"/>
                <w:sz w:val="24"/>
              </w:rPr>
            </w:pPr>
            <w:r>
              <w:rPr>
                <w:rFonts w:hint="eastAsia" w:ascii="宋体" w:hAnsi="宋体" w:cs="宋体"/>
                <w:sz w:val="24"/>
              </w:rPr>
              <w:t>16.6</w:t>
            </w:r>
          </w:p>
        </w:tc>
        <w:tc>
          <w:tcPr>
            <w:tcW w:w="2268" w:type="dxa"/>
            <w:vAlign w:val="center"/>
          </w:tcPr>
          <w:p w14:paraId="0A508A44">
            <w:pPr>
              <w:widowControl/>
              <w:jc w:val="center"/>
              <w:rPr>
                <w:rFonts w:ascii="宋体" w:hAnsi="宋体" w:cs="宋体"/>
                <w:sz w:val="24"/>
              </w:rPr>
            </w:pPr>
            <w:r>
              <w:rPr>
                <w:rFonts w:hint="eastAsia" w:ascii="宋体" w:hAnsi="宋体" w:cs="宋体"/>
                <w:sz w:val="24"/>
              </w:rPr>
              <w:t>100.00%</w:t>
            </w:r>
          </w:p>
        </w:tc>
      </w:tr>
      <w:tr w14:paraId="4A9EF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6E23015C">
            <w:pPr>
              <w:widowControl/>
              <w:jc w:val="left"/>
              <w:rPr>
                <w:rFonts w:ascii="宋体" w:hAnsi="宋体" w:cs="宋体"/>
                <w:kern w:val="0"/>
                <w:sz w:val="24"/>
              </w:rPr>
            </w:pPr>
            <w:r>
              <w:rPr>
                <w:rFonts w:hint="eastAsia" w:ascii="宋体" w:hAnsi="宋体" w:cs="宋体"/>
                <w:sz w:val="24"/>
              </w:rPr>
              <w:t>委托调研课题费用</w:t>
            </w:r>
          </w:p>
        </w:tc>
        <w:tc>
          <w:tcPr>
            <w:tcW w:w="2268" w:type="dxa"/>
            <w:vAlign w:val="center"/>
          </w:tcPr>
          <w:p w14:paraId="2D6A9A0F">
            <w:pPr>
              <w:widowControl/>
              <w:jc w:val="center"/>
              <w:rPr>
                <w:rFonts w:ascii="宋体" w:hAnsi="宋体" w:cs="宋体"/>
                <w:kern w:val="0"/>
                <w:sz w:val="24"/>
              </w:rPr>
            </w:pPr>
            <w:r>
              <w:rPr>
                <w:rFonts w:hint="eastAsia" w:ascii="宋体" w:hAnsi="宋体" w:cs="宋体"/>
                <w:sz w:val="24"/>
              </w:rPr>
              <w:t>180</w:t>
            </w:r>
          </w:p>
        </w:tc>
        <w:tc>
          <w:tcPr>
            <w:tcW w:w="2268" w:type="dxa"/>
            <w:vAlign w:val="center"/>
          </w:tcPr>
          <w:p w14:paraId="26371076">
            <w:pPr>
              <w:widowControl/>
              <w:jc w:val="center"/>
              <w:rPr>
                <w:rFonts w:ascii="宋体" w:hAnsi="宋体" w:cs="宋体"/>
                <w:sz w:val="24"/>
              </w:rPr>
            </w:pPr>
          </w:p>
        </w:tc>
        <w:tc>
          <w:tcPr>
            <w:tcW w:w="2268" w:type="dxa"/>
            <w:vAlign w:val="center"/>
          </w:tcPr>
          <w:p w14:paraId="14807BBB">
            <w:pPr>
              <w:widowControl/>
              <w:jc w:val="center"/>
              <w:rPr>
                <w:rFonts w:ascii="宋体" w:hAnsi="宋体" w:cs="宋体"/>
                <w:sz w:val="24"/>
              </w:rPr>
            </w:pPr>
            <w:r>
              <w:rPr>
                <w:rFonts w:hint="eastAsia" w:ascii="宋体" w:hAnsi="宋体" w:cs="宋体"/>
                <w:sz w:val="24"/>
              </w:rPr>
              <w:t>180</w:t>
            </w:r>
          </w:p>
        </w:tc>
        <w:tc>
          <w:tcPr>
            <w:tcW w:w="2268" w:type="dxa"/>
            <w:vAlign w:val="center"/>
          </w:tcPr>
          <w:p w14:paraId="42FB77E3">
            <w:pPr>
              <w:widowControl/>
              <w:jc w:val="center"/>
              <w:rPr>
                <w:rFonts w:ascii="宋体" w:hAnsi="宋体" w:cs="宋体"/>
                <w:sz w:val="24"/>
              </w:rPr>
            </w:pPr>
            <w:r>
              <w:rPr>
                <w:rFonts w:hint="eastAsia" w:ascii="宋体" w:hAnsi="宋体" w:cs="宋体"/>
                <w:sz w:val="24"/>
              </w:rPr>
              <w:t>179.35</w:t>
            </w:r>
          </w:p>
        </w:tc>
        <w:tc>
          <w:tcPr>
            <w:tcW w:w="2268" w:type="dxa"/>
            <w:vAlign w:val="center"/>
          </w:tcPr>
          <w:p w14:paraId="6B2CC25E">
            <w:pPr>
              <w:widowControl/>
              <w:jc w:val="center"/>
              <w:rPr>
                <w:rFonts w:ascii="宋体" w:hAnsi="宋体" w:cs="宋体"/>
                <w:sz w:val="24"/>
              </w:rPr>
            </w:pPr>
            <w:r>
              <w:rPr>
                <w:rFonts w:hint="eastAsia" w:ascii="宋体" w:hAnsi="宋体" w:cs="宋体"/>
                <w:sz w:val="24"/>
              </w:rPr>
              <w:t>99.64%</w:t>
            </w:r>
          </w:p>
        </w:tc>
      </w:tr>
      <w:tr w14:paraId="05884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1D71B031">
            <w:pPr>
              <w:widowControl/>
              <w:jc w:val="left"/>
              <w:rPr>
                <w:rFonts w:ascii="宋体" w:hAnsi="宋体" w:cs="宋体"/>
                <w:kern w:val="0"/>
                <w:sz w:val="24"/>
              </w:rPr>
            </w:pPr>
            <w:r>
              <w:rPr>
                <w:rFonts w:hint="eastAsia" w:ascii="宋体" w:hAnsi="宋体" w:cs="宋体"/>
                <w:sz w:val="24"/>
              </w:rPr>
              <w:t>信息化维护费</w:t>
            </w:r>
          </w:p>
        </w:tc>
        <w:tc>
          <w:tcPr>
            <w:tcW w:w="2268" w:type="dxa"/>
            <w:vAlign w:val="center"/>
          </w:tcPr>
          <w:p w14:paraId="0DC951BB">
            <w:pPr>
              <w:widowControl/>
              <w:jc w:val="center"/>
              <w:rPr>
                <w:rFonts w:ascii="宋体" w:hAnsi="宋体" w:cs="宋体"/>
                <w:kern w:val="0"/>
                <w:sz w:val="24"/>
              </w:rPr>
            </w:pPr>
            <w:r>
              <w:rPr>
                <w:rFonts w:hint="eastAsia" w:ascii="宋体" w:hAnsi="宋体" w:cs="宋体"/>
                <w:sz w:val="24"/>
              </w:rPr>
              <w:t>30</w:t>
            </w:r>
          </w:p>
        </w:tc>
        <w:tc>
          <w:tcPr>
            <w:tcW w:w="2268" w:type="dxa"/>
            <w:vAlign w:val="center"/>
          </w:tcPr>
          <w:p w14:paraId="44525292">
            <w:pPr>
              <w:widowControl/>
              <w:jc w:val="center"/>
              <w:rPr>
                <w:rFonts w:ascii="宋体" w:hAnsi="宋体" w:cs="宋体"/>
                <w:sz w:val="24"/>
              </w:rPr>
            </w:pPr>
            <w:r>
              <w:rPr>
                <w:rFonts w:hint="eastAsia" w:ascii="宋体" w:hAnsi="宋体" w:cs="宋体"/>
                <w:sz w:val="24"/>
              </w:rPr>
              <w:t>3.5</w:t>
            </w:r>
          </w:p>
        </w:tc>
        <w:tc>
          <w:tcPr>
            <w:tcW w:w="2268" w:type="dxa"/>
            <w:vAlign w:val="center"/>
          </w:tcPr>
          <w:p w14:paraId="3C3FF7C6">
            <w:pPr>
              <w:widowControl/>
              <w:jc w:val="center"/>
              <w:rPr>
                <w:rFonts w:ascii="宋体" w:hAnsi="宋体" w:cs="宋体"/>
                <w:sz w:val="24"/>
              </w:rPr>
            </w:pPr>
            <w:r>
              <w:rPr>
                <w:rFonts w:hint="eastAsia" w:ascii="宋体" w:hAnsi="宋体" w:cs="宋体"/>
                <w:sz w:val="24"/>
              </w:rPr>
              <w:t>33.5</w:t>
            </w:r>
          </w:p>
        </w:tc>
        <w:tc>
          <w:tcPr>
            <w:tcW w:w="2268" w:type="dxa"/>
            <w:vAlign w:val="center"/>
          </w:tcPr>
          <w:p w14:paraId="70AFC91E">
            <w:pPr>
              <w:widowControl/>
              <w:jc w:val="center"/>
              <w:rPr>
                <w:rFonts w:ascii="宋体" w:hAnsi="宋体" w:cs="宋体"/>
                <w:sz w:val="24"/>
              </w:rPr>
            </w:pPr>
            <w:r>
              <w:rPr>
                <w:rFonts w:hint="eastAsia" w:ascii="宋体" w:hAnsi="宋体" w:cs="宋体"/>
                <w:sz w:val="24"/>
              </w:rPr>
              <w:t>32.1</w:t>
            </w:r>
          </w:p>
        </w:tc>
        <w:tc>
          <w:tcPr>
            <w:tcW w:w="2268" w:type="dxa"/>
            <w:vAlign w:val="center"/>
          </w:tcPr>
          <w:p w14:paraId="56C34773">
            <w:pPr>
              <w:widowControl/>
              <w:jc w:val="center"/>
              <w:rPr>
                <w:rFonts w:ascii="宋体" w:hAnsi="宋体" w:cs="宋体"/>
                <w:sz w:val="24"/>
              </w:rPr>
            </w:pPr>
            <w:r>
              <w:rPr>
                <w:rFonts w:hint="eastAsia" w:ascii="宋体" w:hAnsi="宋体" w:cs="宋体"/>
                <w:sz w:val="24"/>
              </w:rPr>
              <w:t>95.82%</w:t>
            </w:r>
          </w:p>
        </w:tc>
      </w:tr>
      <w:tr w14:paraId="7E36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671C8CE8">
            <w:pPr>
              <w:widowControl/>
              <w:jc w:val="left"/>
              <w:rPr>
                <w:rFonts w:ascii="宋体" w:hAnsi="宋体" w:cs="宋体"/>
                <w:kern w:val="0"/>
                <w:sz w:val="24"/>
              </w:rPr>
            </w:pPr>
            <w:r>
              <w:rPr>
                <w:rFonts w:hint="eastAsia" w:ascii="宋体" w:hAnsi="宋体" w:cs="宋体"/>
                <w:sz w:val="24"/>
              </w:rPr>
              <w:t>宣传费</w:t>
            </w:r>
          </w:p>
        </w:tc>
        <w:tc>
          <w:tcPr>
            <w:tcW w:w="2268" w:type="dxa"/>
            <w:vAlign w:val="center"/>
          </w:tcPr>
          <w:p w14:paraId="629DB1DA">
            <w:pPr>
              <w:widowControl/>
              <w:jc w:val="center"/>
              <w:rPr>
                <w:rFonts w:ascii="宋体" w:hAnsi="宋体" w:cs="宋体"/>
                <w:kern w:val="0"/>
                <w:sz w:val="24"/>
              </w:rPr>
            </w:pPr>
            <w:r>
              <w:rPr>
                <w:rFonts w:hint="eastAsia" w:ascii="宋体" w:hAnsi="宋体" w:cs="宋体"/>
                <w:sz w:val="24"/>
              </w:rPr>
              <w:t>100</w:t>
            </w:r>
          </w:p>
        </w:tc>
        <w:tc>
          <w:tcPr>
            <w:tcW w:w="2268" w:type="dxa"/>
            <w:vAlign w:val="center"/>
          </w:tcPr>
          <w:p w14:paraId="443538F7">
            <w:pPr>
              <w:widowControl/>
              <w:jc w:val="center"/>
              <w:rPr>
                <w:rFonts w:ascii="宋体" w:hAnsi="宋体" w:cs="宋体"/>
                <w:sz w:val="24"/>
              </w:rPr>
            </w:pPr>
          </w:p>
        </w:tc>
        <w:tc>
          <w:tcPr>
            <w:tcW w:w="2268" w:type="dxa"/>
            <w:vAlign w:val="center"/>
          </w:tcPr>
          <w:p w14:paraId="28865753">
            <w:pPr>
              <w:widowControl/>
              <w:jc w:val="center"/>
              <w:rPr>
                <w:rFonts w:ascii="宋体" w:hAnsi="宋体" w:cs="宋体"/>
                <w:sz w:val="24"/>
              </w:rPr>
            </w:pPr>
            <w:r>
              <w:rPr>
                <w:rFonts w:hint="eastAsia" w:ascii="宋体" w:hAnsi="宋体" w:cs="宋体"/>
                <w:sz w:val="24"/>
              </w:rPr>
              <w:t>100</w:t>
            </w:r>
          </w:p>
        </w:tc>
        <w:tc>
          <w:tcPr>
            <w:tcW w:w="2268" w:type="dxa"/>
            <w:vAlign w:val="center"/>
          </w:tcPr>
          <w:p w14:paraId="7C0E99FB">
            <w:pPr>
              <w:widowControl/>
              <w:jc w:val="center"/>
              <w:rPr>
                <w:rFonts w:ascii="宋体" w:hAnsi="宋体" w:cs="宋体"/>
                <w:sz w:val="24"/>
              </w:rPr>
            </w:pPr>
            <w:r>
              <w:rPr>
                <w:rFonts w:hint="eastAsia" w:ascii="宋体" w:hAnsi="宋体" w:cs="宋体"/>
                <w:sz w:val="24"/>
              </w:rPr>
              <w:t>92.58</w:t>
            </w:r>
          </w:p>
        </w:tc>
        <w:tc>
          <w:tcPr>
            <w:tcW w:w="2268" w:type="dxa"/>
            <w:vAlign w:val="center"/>
          </w:tcPr>
          <w:p w14:paraId="3F930C2F">
            <w:pPr>
              <w:widowControl/>
              <w:jc w:val="center"/>
              <w:rPr>
                <w:rFonts w:ascii="宋体" w:hAnsi="宋体" w:cs="宋体"/>
                <w:sz w:val="24"/>
              </w:rPr>
            </w:pPr>
            <w:r>
              <w:rPr>
                <w:rFonts w:hint="eastAsia" w:ascii="宋体" w:hAnsi="宋体" w:cs="宋体"/>
                <w:sz w:val="24"/>
              </w:rPr>
              <w:t>92.58%</w:t>
            </w:r>
          </w:p>
        </w:tc>
      </w:tr>
      <w:tr w14:paraId="43E78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763DAF40">
            <w:pPr>
              <w:widowControl/>
              <w:jc w:val="left"/>
              <w:rPr>
                <w:rFonts w:ascii="宋体" w:hAnsi="宋体" w:cs="宋体"/>
                <w:kern w:val="0"/>
                <w:sz w:val="24"/>
              </w:rPr>
            </w:pPr>
            <w:r>
              <w:rPr>
                <w:rFonts w:hint="eastAsia" w:ascii="宋体" w:hAnsi="宋体" w:cs="宋体"/>
                <w:sz w:val="24"/>
              </w:rPr>
              <w:t>专项调研调查费</w:t>
            </w:r>
          </w:p>
        </w:tc>
        <w:tc>
          <w:tcPr>
            <w:tcW w:w="2268" w:type="dxa"/>
            <w:vAlign w:val="center"/>
          </w:tcPr>
          <w:p w14:paraId="0A98B581">
            <w:pPr>
              <w:widowControl/>
              <w:jc w:val="center"/>
              <w:rPr>
                <w:rFonts w:ascii="宋体" w:hAnsi="宋体" w:cs="宋体"/>
                <w:kern w:val="0"/>
                <w:sz w:val="24"/>
              </w:rPr>
            </w:pPr>
            <w:r>
              <w:rPr>
                <w:rFonts w:hint="eastAsia" w:ascii="宋体" w:hAnsi="宋体" w:cs="宋体"/>
                <w:sz w:val="24"/>
              </w:rPr>
              <w:t>52.43</w:t>
            </w:r>
          </w:p>
        </w:tc>
        <w:tc>
          <w:tcPr>
            <w:tcW w:w="2268" w:type="dxa"/>
            <w:vAlign w:val="center"/>
          </w:tcPr>
          <w:p w14:paraId="4480A45E">
            <w:pPr>
              <w:widowControl/>
              <w:jc w:val="center"/>
              <w:rPr>
                <w:rFonts w:ascii="宋体" w:hAnsi="宋体" w:cs="宋体"/>
                <w:sz w:val="24"/>
              </w:rPr>
            </w:pPr>
            <w:r>
              <w:rPr>
                <w:rFonts w:hint="eastAsia" w:ascii="宋体" w:hAnsi="宋体" w:cs="宋体"/>
                <w:sz w:val="24"/>
              </w:rPr>
              <w:t>19</w:t>
            </w:r>
          </w:p>
        </w:tc>
        <w:tc>
          <w:tcPr>
            <w:tcW w:w="2268" w:type="dxa"/>
            <w:vAlign w:val="center"/>
          </w:tcPr>
          <w:p w14:paraId="61D80D17">
            <w:pPr>
              <w:widowControl/>
              <w:jc w:val="center"/>
              <w:rPr>
                <w:rFonts w:ascii="宋体" w:hAnsi="宋体" w:cs="宋体"/>
                <w:sz w:val="24"/>
              </w:rPr>
            </w:pPr>
            <w:r>
              <w:rPr>
                <w:rFonts w:hint="eastAsia" w:ascii="宋体" w:hAnsi="宋体" w:cs="宋体"/>
                <w:sz w:val="24"/>
              </w:rPr>
              <w:t>71.43</w:t>
            </w:r>
          </w:p>
        </w:tc>
        <w:tc>
          <w:tcPr>
            <w:tcW w:w="2268" w:type="dxa"/>
            <w:vAlign w:val="center"/>
          </w:tcPr>
          <w:p w14:paraId="39ECDB5F">
            <w:pPr>
              <w:widowControl/>
              <w:jc w:val="center"/>
              <w:rPr>
                <w:rFonts w:ascii="宋体" w:hAnsi="宋体" w:cs="宋体"/>
                <w:sz w:val="24"/>
              </w:rPr>
            </w:pPr>
            <w:r>
              <w:rPr>
                <w:rFonts w:hint="eastAsia" w:ascii="宋体" w:hAnsi="宋体" w:cs="宋体"/>
                <w:sz w:val="24"/>
              </w:rPr>
              <w:t>70.16</w:t>
            </w:r>
          </w:p>
        </w:tc>
        <w:tc>
          <w:tcPr>
            <w:tcW w:w="2268" w:type="dxa"/>
            <w:vAlign w:val="center"/>
          </w:tcPr>
          <w:p w14:paraId="678C6619">
            <w:pPr>
              <w:widowControl/>
              <w:jc w:val="center"/>
              <w:rPr>
                <w:rFonts w:ascii="宋体" w:hAnsi="宋体" w:cs="宋体"/>
                <w:sz w:val="24"/>
              </w:rPr>
            </w:pPr>
            <w:r>
              <w:rPr>
                <w:rFonts w:hint="eastAsia" w:ascii="宋体" w:hAnsi="宋体" w:cs="宋体"/>
                <w:sz w:val="24"/>
              </w:rPr>
              <w:t>98.22%</w:t>
            </w:r>
          </w:p>
        </w:tc>
      </w:tr>
      <w:tr w14:paraId="09536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2CD068DA">
            <w:pPr>
              <w:widowControl/>
              <w:jc w:val="left"/>
              <w:rPr>
                <w:rFonts w:ascii="宋体" w:hAnsi="宋体" w:cs="宋体"/>
                <w:kern w:val="0"/>
                <w:sz w:val="24"/>
              </w:rPr>
            </w:pPr>
            <w:r>
              <w:rPr>
                <w:rFonts w:hint="eastAsia" w:ascii="宋体" w:hAnsi="宋体" w:cs="宋体"/>
                <w:sz w:val="24"/>
              </w:rPr>
              <w:t>综合委托业务费</w:t>
            </w:r>
          </w:p>
        </w:tc>
        <w:tc>
          <w:tcPr>
            <w:tcW w:w="2268" w:type="dxa"/>
            <w:vAlign w:val="center"/>
          </w:tcPr>
          <w:p w14:paraId="6ABE2945">
            <w:pPr>
              <w:widowControl/>
              <w:jc w:val="center"/>
              <w:rPr>
                <w:rFonts w:ascii="宋体" w:hAnsi="宋体" w:cs="宋体"/>
                <w:kern w:val="0"/>
                <w:sz w:val="24"/>
              </w:rPr>
            </w:pPr>
            <w:r>
              <w:rPr>
                <w:rFonts w:hint="eastAsia" w:ascii="宋体" w:hAnsi="宋体" w:cs="宋体"/>
                <w:sz w:val="24"/>
              </w:rPr>
              <w:t>245.2</w:t>
            </w:r>
          </w:p>
        </w:tc>
        <w:tc>
          <w:tcPr>
            <w:tcW w:w="2268" w:type="dxa"/>
            <w:vAlign w:val="center"/>
          </w:tcPr>
          <w:p w14:paraId="34324002">
            <w:pPr>
              <w:widowControl/>
              <w:jc w:val="center"/>
              <w:rPr>
                <w:rFonts w:ascii="宋体" w:hAnsi="宋体" w:cs="宋体"/>
                <w:sz w:val="24"/>
              </w:rPr>
            </w:pPr>
            <w:r>
              <w:rPr>
                <w:rFonts w:hint="eastAsia" w:ascii="宋体" w:hAnsi="宋体" w:cs="宋体"/>
                <w:sz w:val="24"/>
              </w:rPr>
              <w:t>-45.93</w:t>
            </w:r>
          </w:p>
        </w:tc>
        <w:tc>
          <w:tcPr>
            <w:tcW w:w="2268" w:type="dxa"/>
            <w:vAlign w:val="center"/>
          </w:tcPr>
          <w:p w14:paraId="5D4D961C">
            <w:pPr>
              <w:widowControl/>
              <w:jc w:val="center"/>
              <w:rPr>
                <w:rFonts w:ascii="宋体" w:hAnsi="宋体" w:cs="宋体"/>
                <w:sz w:val="24"/>
              </w:rPr>
            </w:pPr>
            <w:r>
              <w:rPr>
                <w:rFonts w:hint="eastAsia" w:ascii="宋体" w:hAnsi="宋体" w:cs="宋体"/>
                <w:sz w:val="24"/>
              </w:rPr>
              <w:t>199.27</w:t>
            </w:r>
          </w:p>
        </w:tc>
        <w:tc>
          <w:tcPr>
            <w:tcW w:w="2268" w:type="dxa"/>
            <w:vAlign w:val="center"/>
          </w:tcPr>
          <w:p w14:paraId="5BFEEDF0">
            <w:pPr>
              <w:widowControl/>
              <w:jc w:val="center"/>
              <w:rPr>
                <w:rFonts w:ascii="宋体" w:hAnsi="宋体" w:cs="宋体"/>
                <w:sz w:val="24"/>
              </w:rPr>
            </w:pPr>
            <w:r>
              <w:rPr>
                <w:rFonts w:hint="eastAsia" w:ascii="宋体" w:hAnsi="宋体" w:cs="宋体"/>
                <w:sz w:val="24"/>
              </w:rPr>
              <w:t>184.95</w:t>
            </w:r>
          </w:p>
        </w:tc>
        <w:tc>
          <w:tcPr>
            <w:tcW w:w="2268" w:type="dxa"/>
            <w:vAlign w:val="center"/>
          </w:tcPr>
          <w:p w14:paraId="2EF2B318">
            <w:pPr>
              <w:widowControl/>
              <w:jc w:val="center"/>
              <w:rPr>
                <w:rFonts w:ascii="宋体" w:hAnsi="宋体" w:cs="宋体"/>
                <w:sz w:val="24"/>
              </w:rPr>
            </w:pPr>
            <w:r>
              <w:rPr>
                <w:rFonts w:hint="eastAsia" w:ascii="宋体" w:hAnsi="宋体" w:cs="宋体"/>
                <w:sz w:val="24"/>
              </w:rPr>
              <w:t>92.81%</w:t>
            </w:r>
          </w:p>
        </w:tc>
      </w:tr>
      <w:tr w14:paraId="544C8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0F382443">
            <w:pPr>
              <w:widowControl/>
              <w:jc w:val="left"/>
              <w:rPr>
                <w:rFonts w:ascii="宋体" w:hAnsi="宋体" w:cs="宋体"/>
                <w:kern w:val="0"/>
                <w:sz w:val="24"/>
              </w:rPr>
            </w:pPr>
            <w:r>
              <w:rPr>
                <w:rFonts w:hint="eastAsia" w:ascii="宋体" w:hAnsi="宋体" w:cs="宋体"/>
                <w:sz w:val="24"/>
              </w:rPr>
              <w:t>党团活动经费</w:t>
            </w:r>
          </w:p>
        </w:tc>
        <w:tc>
          <w:tcPr>
            <w:tcW w:w="2268" w:type="dxa"/>
            <w:vAlign w:val="center"/>
          </w:tcPr>
          <w:p w14:paraId="5DD4BFBD">
            <w:pPr>
              <w:widowControl/>
              <w:jc w:val="center"/>
              <w:rPr>
                <w:rFonts w:ascii="宋体" w:hAnsi="宋体" w:cs="宋体"/>
                <w:kern w:val="0"/>
                <w:sz w:val="24"/>
              </w:rPr>
            </w:pPr>
            <w:r>
              <w:rPr>
                <w:rFonts w:hint="eastAsia" w:ascii="宋体" w:hAnsi="宋体" w:cs="宋体"/>
                <w:sz w:val="24"/>
              </w:rPr>
              <w:t>18.1</w:t>
            </w:r>
          </w:p>
        </w:tc>
        <w:tc>
          <w:tcPr>
            <w:tcW w:w="2268" w:type="dxa"/>
            <w:vAlign w:val="center"/>
          </w:tcPr>
          <w:p w14:paraId="569265D7">
            <w:pPr>
              <w:widowControl/>
              <w:jc w:val="center"/>
              <w:rPr>
                <w:rFonts w:ascii="宋体" w:hAnsi="宋体" w:cs="宋体"/>
                <w:sz w:val="24"/>
              </w:rPr>
            </w:pPr>
          </w:p>
        </w:tc>
        <w:tc>
          <w:tcPr>
            <w:tcW w:w="2268" w:type="dxa"/>
            <w:vAlign w:val="center"/>
          </w:tcPr>
          <w:p w14:paraId="4280AF2B">
            <w:pPr>
              <w:widowControl/>
              <w:jc w:val="center"/>
              <w:rPr>
                <w:rFonts w:ascii="宋体" w:hAnsi="宋体" w:cs="宋体"/>
                <w:sz w:val="24"/>
              </w:rPr>
            </w:pPr>
            <w:r>
              <w:rPr>
                <w:rFonts w:hint="eastAsia" w:ascii="宋体" w:hAnsi="宋体" w:cs="宋体"/>
                <w:sz w:val="24"/>
              </w:rPr>
              <w:t>18.1</w:t>
            </w:r>
          </w:p>
        </w:tc>
        <w:tc>
          <w:tcPr>
            <w:tcW w:w="2268" w:type="dxa"/>
            <w:vAlign w:val="center"/>
          </w:tcPr>
          <w:p w14:paraId="28F3C9C2">
            <w:pPr>
              <w:widowControl/>
              <w:jc w:val="center"/>
              <w:rPr>
                <w:rFonts w:ascii="宋体" w:hAnsi="宋体" w:cs="宋体"/>
                <w:sz w:val="24"/>
              </w:rPr>
            </w:pPr>
            <w:r>
              <w:rPr>
                <w:rFonts w:hint="eastAsia" w:ascii="宋体" w:hAnsi="宋体" w:cs="宋体"/>
                <w:sz w:val="24"/>
              </w:rPr>
              <w:t>17.05</w:t>
            </w:r>
          </w:p>
        </w:tc>
        <w:tc>
          <w:tcPr>
            <w:tcW w:w="2268" w:type="dxa"/>
            <w:vAlign w:val="center"/>
          </w:tcPr>
          <w:p w14:paraId="11028260">
            <w:pPr>
              <w:widowControl/>
              <w:jc w:val="center"/>
              <w:rPr>
                <w:rFonts w:ascii="宋体" w:hAnsi="宋体" w:cs="宋体"/>
                <w:sz w:val="24"/>
              </w:rPr>
            </w:pPr>
            <w:r>
              <w:rPr>
                <w:rFonts w:hint="eastAsia" w:ascii="宋体" w:hAnsi="宋体" w:cs="宋体"/>
                <w:sz w:val="24"/>
              </w:rPr>
              <w:t>94.20%</w:t>
            </w:r>
          </w:p>
        </w:tc>
      </w:tr>
      <w:tr w14:paraId="4113D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521CF98B">
            <w:pPr>
              <w:widowControl/>
              <w:jc w:val="left"/>
              <w:rPr>
                <w:rFonts w:ascii="宋体" w:hAnsi="宋体" w:cs="宋体"/>
                <w:kern w:val="0"/>
                <w:sz w:val="24"/>
              </w:rPr>
            </w:pPr>
            <w:r>
              <w:rPr>
                <w:rFonts w:hint="eastAsia" w:ascii="宋体" w:hAnsi="宋体" w:cs="宋体"/>
                <w:sz w:val="24"/>
              </w:rPr>
              <w:t>常年法律顾问服务费</w:t>
            </w:r>
          </w:p>
        </w:tc>
        <w:tc>
          <w:tcPr>
            <w:tcW w:w="2268" w:type="dxa"/>
            <w:vAlign w:val="center"/>
          </w:tcPr>
          <w:p w14:paraId="36FEFDC6">
            <w:pPr>
              <w:widowControl/>
              <w:jc w:val="center"/>
              <w:rPr>
                <w:rFonts w:ascii="宋体" w:hAnsi="宋体" w:cs="宋体"/>
                <w:kern w:val="0"/>
                <w:sz w:val="24"/>
              </w:rPr>
            </w:pPr>
            <w:r>
              <w:rPr>
                <w:rFonts w:hint="eastAsia" w:ascii="宋体" w:hAnsi="宋体" w:cs="宋体"/>
                <w:sz w:val="24"/>
              </w:rPr>
              <w:t>5</w:t>
            </w:r>
          </w:p>
        </w:tc>
        <w:tc>
          <w:tcPr>
            <w:tcW w:w="2268" w:type="dxa"/>
            <w:vAlign w:val="center"/>
          </w:tcPr>
          <w:p w14:paraId="62E777FD">
            <w:pPr>
              <w:widowControl/>
              <w:jc w:val="center"/>
              <w:rPr>
                <w:rFonts w:ascii="宋体" w:hAnsi="宋体" w:cs="宋体"/>
                <w:sz w:val="24"/>
              </w:rPr>
            </w:pPr>
          </w:p>
        </w:tc>
        <w:tc>
          <w:tcPr>
            <w:tcW w:w="2268" w:type="dxa"/>
            <w:vAlign w:val="center"/>
          </w:tcPr>
          <w:p w14:paraId="349D5B03">
            <w:pPr>
              <w:widowControl/>
              <w:jc w:val="center"/>
              <w:rPr>
                <w:rFonts w:ascii="宋体" w:hAnsi="宋体" w:cs="宋体"/>
                <w:sz w:val="24"/>
              </w:rPr>
            </w:pPr>
            <w:r>
              <w:rPr>
                <w:rFonts w:hint="eastAsia" w:ascii="宋体" w:hAnsi="宋体" w:cs="宋体"/>
                <w:sz w:val="24"/>
              </w:rPr>
              <w:t>5</w:t>
            </w:r>
          </w:p>
        </w:tc>
        <w:tc>
          <w:tcPr>
            <w:tcW w:w="2268" w:type="dxa"/>
            <w:vAlign w:val="center"/>
          </w:tcPr>
          <w:p w14:paraId="538531DE">
            <w:pPr>
              <w:widowControl/>
              <w:jc w:val="center"/>
              <w:rPr>
                <w:rFonts w:ascii="宋体" w:hAnsi="宋体" w:cs="宋体"/>
                <w:sz w:val="24"/>
              </w:rPr>
            </w:pPr>
            <w:r>
              <w:rPr>
                <w:rFonts w:hint="eastAsia" w:ascii="宋体" w:hAnsi="宋体" w:cs="宋体"/>
                <w:sz w:val="24"/>
              </w:rPr>
              <w:t>5</w:t>
            </w:r>
          </w:p>
        </w:tc>
        <w:tc>
          <w:tcPr>
            <w:tcW w:w="2268" w:type="dxa"/>
            <w:vAlign w:val="center"/>
          </w:tcPr>
          <w:p w14:paraId="25CC58E6">
            <w:pPr>
              <w:widowControl/>
              <w:jc w:val="center"/>
              <w:rPr>
                <w:rFonts w:ascii="宋体" w:hAnsi="宋体" w:cs="宋体"/>
                <w:sz w:val="24"/>
              </w:rPr>
            </w:pPr>
            <w:r>
              <w:rPr>
                <w:rFonts w:hint="eastAsia" w:ascii="宋体" w:hAnsi="宋体" w:cs="宋体"/>
                <w:sz w:val="24"/>
              </w:rPr>
              <w:t>100.00%</w:t>
            </w:r>
          </w:p>
        </w:tc>
      </w:tr>
      <w:tr w14:paraId="145A1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0A964863">
            <w:pPr>
              <w:widowControl/>
              <w:jc w:val="left"/>
              <w:rPr>
                <w:rFonts w:ascii="宋体" w:hAnsi="宋体" w:cs="宋体"/>
                <w:kern w:val="0"/>
                <w:sz w:val="24"/>
              </w:rPr>
            </w:pPr>
            <w:r>
              <w:rPr>
                <w:rFonts w:hint="eastAsia" w:ascii="宋体" w:hAnsi="宋体" w:cs="宋体"/>
                <w:sz w:val="24"/>
              </w:rPr>
              <w:t>办公设备购置</w:t>
            </w:r>
          </w:p>
        </w:tc>
        <w:tc>
          <w:tcPr>
            <w:tcW w:w="2268" w:type="dxa"/>
            <w:vAlign w:val="center"/>
          </w:tcPr>
          <w:p w14:paraId="5B2BD5E9">
            <w:pPr>
              <w:widowControl/>
              <w:jc w:val="center"/>
              <w:rPr>
                <w:rFonts w:ascii="宋体" w:hAnsi="宋体" w:cs="宋体"/>
                <w:kern w:val="0"/>
                <w:sz w:val="24"/>
              </w:rPr>
            </w:pPr>
            <w:r>
              <w:rPr>
                <w:rFonts w:hint="eastAsia" w:ascii="宋体" w:hAnsi="宋体" w:cs="宋体"/>
                <w:sz w:val="24"/>
              </w:rPr>
              <w:t>5</w:t>
            </w:r>
          </w:p>
        </w:tc>
        <w:tc>
          <w:tcPr>
            <w:tcW w:w="2268" w:type="dxa"/>
            <w:vAlign w:val="center"/>
          </w:tcPr>
          <w:p w14:paraId="3179D3E3">
            <w:pPr>
              <w:widowControl/>
              <w:jc w:val="center"/>
              <w:rPr>
                <w:rFonts w:ascii="宋体" w:hAnsi="宋体" w:cs="宋体"/>
                <w:sz w:val="24"/>
              </w:rPr>
            </w:pPr>
            <w:r>
              <w:rPr>
                <w:rFonts w:hint="eastAsia" w:ascii="宋体" w:hAnsi="宋体" w:cs="宋体"/>
                <w:sz w:val="24"/>
              </w:rPr>
              <w:t>-3.5</w:t>
            </w:r>
          </w:p>
        </w:tc>
        <w:tc>
          <w:tcPr>
            <w:tcW w:w="2268" w:type="dxa"/>
            <w:vAlign w:val="center"/>
          </w:tcPr>
          <w:p w14:paraId="55779128">
            <w:pPr>
              <w:widowControl/>
              <w:jc w:val="center"/>
              <w:rPr>
                <w:rFonts w:ascii="宋体" w:hAnsi="宋体" w:cs="宋体"/>
                <w:sz w:val="24"/>
              </w:rPr>
            </w:pPr>
            <w:r>
              <w:rPr>
                <w:rFonts w:hint="eastAsia" w:ascii="宋体" w:hAnsi="宋体" w:cs="宋体"/>
                <w:sz w:val="24"/>
              </w:rPr>
              <w:t>1.5</w:t>
            </w:r>
          </w:p>
        </w:tc>
        <w:tc>
          <w:tcPr>
            <w:tcW w:w="2268" w:type="dxa"/>
            <w:vAlign w:val="center"/>
          </w:tcPr>
          <w:p w14:paraId="0DDA3F0B">
            <w:pPr>
              <w:widowControl/>
              <w:jc w:val="center"/>
              <w:rPr>
                <w:rFonts w:ascii="宋体" w:hAnsi="宋体" w:cs="宋体"/>
                <w:sz w:val="24"/>
              </w:rPr>
            </w:pPr>
            <w:r>
              <w:rPr>
                <w:rFonts w:hint="eastAsia" w:ascii="宋体" w:hAnsi="宋体" w:cs="宋体"/>
                <w:sz w:val="24"/>
              </w:rPr>
              <w:t>1.2</w:t>
            </w:r>
          </w:p>
        </w:tc>
        <w:tc>
          <w:tcPr>
            <w:tcW w:w="2268" w:type="dxa"/>
            <w:vAlign w:val="center"/>
          </w:tcPr>
          <w:p w14:paraId="76E1A464">
            <w:pPr>
              <w:widowControl/>
              <w:jc w:val="center"/>
              <w:rPr>
                <w:rFonts w:ascii="宋体" w:hAnsi="宋体" w:cs="宋体"/>
                <w:sz w:val="24"/>
              </w:rPr>
            </w:pPr>
            <w:r>
              <w:rPr>
                <w:rFonts w:hint="eastAsia" w:ascii="宋体" w:hAnsi="宋体" w:cs="宋体"/>
                <w:sz w:val="24"/>
              </w:rPr>
              <w:t>80.00%</w:t>
            </w:r>
          </w:p>
        </w:tc>
      </w:tr>
      <w:tr w14:paraId="34EB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3FD631FD">
            <w:pPr>
              <w:widowControl/>
              <w:jc w:val="left"/>
              <w:rPr>
                <w:rFonts w:ascii="宋体" w:hAnsi="宋体" w:cs="宋体"/>
                <w:kern w:val="0"/>
                <w:sz w:val="24"/>
              </w:rPr>
            </w:pPr>
            <w:r>
              <w:rPr>
                <w:rFonts w:hint="eastAsia" w:ascii="宋体" w:hAnsi="宋体" w:cs="宋体"/>
                <w:sz w:val="24"/>
              </w:rPr>
              <w:t>公务出国（境）费</w:t>
            </w:r>
          </w:p>
        </w:tc>
        <w:tc>
          <w:tcPr>
            <w:tcW w:w="2268" w:type="dxa"/>
            <w:vAlign w:val="center"/>
          </w:tcPr>
          <w:p w14:paraId="12E9E5A5">
            <w:pPr>
              <w:widowControl/>
              <w:jc w:val="center"/>
              <w:rPr>
                <w:rFonts w:ascii="宋体" w:hAnsi="宋体" w:cs="宋体"/>
                <w:kern w:val="0"/>
                <w:sz w:val="24"/>
              </w:rPr>
            </w:pPr>
            <w:r>
              <w:rPr>
                <w:rFonts w:hint="eastAsia" w:ascii="宋体" w:hAnsi="宋体" w:cs="宋体"/>
                <w:sz w:val="24"/>
              </w:rPr>
              <w:t>40</w:t>
            </w:r>
          </w:p>
        </w:tc>
        <w:tc>
          <w:tcPr>
            <w:tcW w:w="2268" w:type="dxa"/>
            <w:vAlign w:val="center"/>
          </w:tcPr>
          <w:p w14:paraId="002D7EC2">
            <w:pPr>
              <w:widowControl/>
              <w:jc w:val="center"/>
              <w:rPr>
                <w:rFonts w:ascii="宋体" w:hAnsi="宋体" w:cs="宋体"/>
                <w:sz w:val="24"/>
              </w:rPr>
            </w:pPr>
            <w:r>
              <w:rPr>
                <w:rFonts w:hint="eastAsia" w:ascii="宋体" w:hAnsi="宋体" w:cs="宋体"/>
                <w:sz w:val="24"/>
              </w:rPr>
              <w:t>-18.9</w:t>
            </w:r>
          </w:p>
        </w:tc>
        <w:tc>
          <w:tcPr>
            <w:tcW w:w="2268" w:type="dxa"/>
            <w:vAlign w:val="center"/>
          </w:tcPr>
          <w:p w14:paraId="2A9F37CC">
            <w:pPr>
              <w:widowControl/>
              <w:jc w:val="center"/>
              <w:rPr>
                <w:rFonts w:ascii="宋体" w:hAnsi="宋体" w:cs="宋体"/>
                <w:sz w:val="24"/>
              </w:rPr>
            </w:pPr>
            <w:r>
              <w:rPr>
                <w:rFonts w:hint="eastAsia" w:ascii="宋体" w:hAnsi="宋体" w:cs="宋体"/>
                <w:sz w:val="24"/>
              </w:rPr>
              <w:t>21.1</w:t>
            </w:r>
          </w:p>
        </w:tc>
        <w:tc>
          <w:tcPr>
            <w:tcW w:w="2268" w:type="dxa"/>
            <w:vAlign w:val="center"/>
          </w:tcPr>
          <w:p w14:paraId="65AE1802">
            <w:pPr>
              <w:widowControl/>
              <w:jc w:val="center"/>
              <w:rPr>
                <w:rFonts w:ascii="宋体" w:hAnsi="宋体" w:cs="宋体"/>
                <w:sz w:val="24"/>
              </w:rPr>
            </w:pPr>
            <w:r>
              <w:rPr>
                <w:rFonts w:hint="eastAsia" w:ascii="宋体" w:hAnsi="宋体" w:cs="宋体"/>
                <w:sz w:val="24"/>
              </w:rPr>
              <w:t>19.74</w:t>
            </w:r>
          </w:p>
        </w:tc>
        <w:tc>
          <w:tcPr>
            <w:tcW w:w="2268" w:type="dxa"/>
            <w:vAlign w:val="center"/>
          </w:tcPr>
          <w:p w14:paraId="38838EC1">
            <w:pPr>
              <w:widowControl/>
              <w:jc w:val="center"/>
              <w:rPr>
                <w:rFonts w:ascii="宋体" w:hAnsi="宋体" w:cs="宋体"/>
                <w:sz w:val="24"/>
              </w:rPr>
            </w:pPr>
            <w:r>
              <w:rPr>
                <w:rFonts w:hint="eastAsia" w:ascii="宋体" w:hAnsi="宋体" w:cs="宋体"/>
                <w:sz w:val="24"/>
              </w:rPr>
              <w:t>93.55%</w:t>
            </w:r>
          </w:p>
        </w:tc>
      </w:tr>
      <w:tr w14:paraId="5BD24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2B2E4BFB">
            <w:pPr>
              <w:widowControl/>
              <w:jc w:val="left"/>
              <w:rPr>
                <w:rFonts w:ascii="宋体" w:hAnsi="宋体" w:cs="宋体"/>
                <w:kern w:val="0"/>
                <w:sz w:val="24"/>
              </w:rPr>
            </w:pPr>
            <w:r>
              <w:rPr>
                <w:rFonts w:hint="eastAsia" w:ascii="宋体" w:hAnsi="宋体" w:cs="宋体"/>
                <w:sz w:val="24"/>
              </w:rPr>
              <w:t>各类印刷费</w:t>
            </w:r>
          </w:p>
        </w:tc>
        <w:tc>
          <w:tcPr>
            <w:tcW w:w="2268" w:type="dxa"/>
            <w:vAlign w:val="center"/>
          </w:tcPr>
          <w:p w14:paraId="3A83C11E">
            <w:pPr>
              <w:widowControl/>
              <w:jc w:val="center"/>
              <w:rPr>
                <w:rFonts w:ascii="宋体" w:hAnsi="宋体" w:cs="宋体"/>
                <w:kern w:val="0"/>
                <w:sz w:val="24"/>
              </w:rPr>
            </w:pPr>
            <w:r>
              <w:rPr>
                <w:rFonts w:hint="eastAsia" w:ascii="宋体" w:hAnsi="宋体" w:cs="宋体"/>
                <w:sz w:val="24"/>
              </w:rPr>
              <w:t>15</w:t>
            </w:r>
          </w:p>
        </w:tc>
        <w:tc>
          <w:tcPr>
            <w:tcW w:w="2268" w:type="dxa"/>
            <w:vAlign w:val="center"/>
          </w:tcPr>
          <w:p w14:paraId="5FB1A165">
            <w:pPr>
              <w:widowControl/>
              <w:jc w:val="center"/>
              <w:rPr>
                <w:rFonts w:ascii="宋体" w:hAnsi="宋体" w:cs="宋体"/>
                <w:sz w:val="24"/>
              </w:rPr>
            </w:pPr>
            <w:r>
              <w:rPr>
                <w:rFonts w:hint="eastAsia" w:ascii="宋体" w:hAnsi="宋体" w:cs="宋体"/>
                <w:sz w:val="24"/>
              </w:rPr>
              <w:t>4</w:t>
            </w:r>
          </w:p>
        </w:tc>
        <w:tc>
          <w:tcPr>
            <w:tcW w:w="2268" w:type="dxa"/>
            <w:vAlign w:val="center"/>
          </w:tcPr>
          <w:p w14:paraId="4FD026C4">
            <w:pPr>
              <w:widowControl/>
              <w:jc w:val="center"/>
              <w:rPr>
                <w:rFonts w:ascii="宋体" w:hAnsi="宋体" w:cs="宋体"/>
                <w:sz w:val="24"/>
              </w:rPr>
            </w:pPr>
            <w:r>
              <w:rPr>
                <w:rFonts w:hint="eastAsia" w:ascii="宋体" w:hAnsi="宋体" w:cs="宋体"/>
                <w:sz w:val="24"/>
              </w:rPr>
              <w:t>19</w:t>
            </w:r>
          </w:p>
        </w:tc>
        <w:tc>
          <w:tcPr>
            <w:tcW w:w="2268" w:type="dxa"/>
            <w:vAlign w:val="center"/>
          </w:tcPr>
          <w:p w14:paraId="59EF6FFE">
            <w:pPr>
              <w:widowControl/>
              <w:jc w:val="center"/>
              <w:rPr>
                <w:rFonts w:ascii="宋体" w:hAnsi="宋体" w:cs="宋体"/>
                <w:sz w:val="24"/>
              </w:rPr>
            </w:pPr>
            <w:r>
              <w:rPr>
                <w:rFonts w:hint="eastAsia" w:ascii="宋体" w:hAnsi="宋体" w:cs="宋体"/>
                <w:sz w:val="24"/>
              </w:rPr>
              <w:t>18.02</w:t>
            </w:r>
          </w:p>
        </w:tc>
        <w:tc>
          <w:tcPr>
            <w:tcW w:w="2268" w:type="dxa"/>
            <w:vAlign w:val="center"/>
          </w:tcPr>
          <w:p w14:paraId="15A821B7">
            <w:pPr>
              <w:widowControl/>
              <w:jc w:val="center"/>
              <w:rPr>
                <w:rFonts w:ascii="宋体" w:hAnsi="宋体" w:cs="宋体"/>
                <w:sz w:val="24"/>
              </w:rPr>
            </w:pPr>
            <w:r>
              <w:rPr>
                <w:rFonts w:hint="eastAsia" w:ascii="宋体" w:hAnsi="宋体" w:cs="宋体"/>
                <w:sz w:val="24"/>
              </w:rPr>
              <w:t>94.84%</w:t>
            </w:r>
          </w:p>
        </w:tc>
      </w:tr>
      <w:tr w14:paraId="5C43F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600A36D0">
            <w:pPr>
              <w:widowControl/>
              <w:jc w:val="left"/>
              <w:rPr>
                <w:rFonts w:ascii="宋体" w:hAnsi="宋体" w:cs="宋体"/>
                <w:kern w:val="0"/>
                <w:sz w:val="24"/>
              </w:rPr>
            </w:pPr>
            <w:r>
              <w:rPr>
                <w:rFonts w:hint="eastAsia" w:ascii="宋体" w:hAnsi="宋体" w:cs="宋体"/>
                <w:sz w:val="24"/>
              </w:rPr>
              <w:t>东西部协作工作经费</w:t>
            </w:r>
          </w:p>
        </w:tc>
        <w:tc>
          <w:tcPr>
            <w:tcW w:w="2268" w:type="dxa"/>
            <w:vAlign w:val="center"/>
          </w:tcPr>
          <w:p w14:paraId="76346D97">
            <w:pPr>
              <w:widowControl/>
              <w:jc w:val="center"/>
              <w:rPr>
                <w:rFonts w:ascii="宋体" w:hAnsi="宋体" w:cs="宋体"/>
                <w:kern w:val="0"/>
                <w:sz w:val="24"/>
              </w:rPr>
            </w:pPr>
            <w:r>
              <w:rPr>
                <w:rFonts w:hint="eastAsia" w:ascii="宋体" w:hAnsi="宋体" w:cs="宋体"/>
                <w:sz w:val="24"/>
              </w:rPr>
              <w:t>4.5</w:t>
            </w:r>
          </w:p>
        </w:tc>
        <w:tc>
          <w:tcPr>
            <w:tcW w:w="2268" w:type="dxa"/>
            <w:vAlign w:val="center"/>
          </w:tcPr>
          <w:p w14:paraId="0ABFA874">
            <w:pPr>
              <w:widowControl/>
              <w:jc w:val="center"/>
              <w:rPr>
                <w:rFonts w:ascii="宋体" w:hAnsi="宋体" w:cs="宋体"/>
                <w:sz w:val="24"/>
              </w:rPr>
            </w:pPr>
          </w:p>
        </w:tc>
        <w:tc>
          <w:tcPr>
            <w:tcW w:w="2268" w:type="dxa"/>
            <w:vAlign w:val="center"/>
          </w:tcPr>
          <w:p w14:paraId="74D7065C">
            <w:pPr>
              <w:widowControl/>
              <w:jc w:val="center"/>
              <w:rPr>
                <w:rFonts w:ascii="宋体" w:hAnsi="宋体" w:cs="宋体"/>
                <w:sz w:val="24"/>
              </w:rPr>
            </w:pPr>
            <w:r>
              <w:rPr>
                <w:rFonts w:hint="eastAsia" w:ascii="宋体" w:hAnsi="宋体" w:cs="宋体"/>
                <w:sz w:val="24"/>
              </w:rPr>
              <w:t>4.5</w:t>
            </w:r>
          </w:p>
        </w:tc>
        <w:tc>
          <w:tcPr>
            <w:tcW w:w="2268" w:type="dxa"/>
            <w:vAlign w:val="center"/>
          </w:tcPr>
          <w:p w14:paraId="67198EAB">
            <w:pPr>
              <w:widowControl/>
              <w:jc w:val="center"/>
              <w:rPr>
                <w:rFonts w:ascii="宋体" w:hAnsi="宋体" w:cs="宋体"/>
                <w:sz w:val="24"/>
              </w:rPr>
            </w:pPr>
            <w:r>
              <w:rPr>
                <w:rFonts w:hint="eastAsia" w:ascii="宋体" w:hAnsi="宋体" w:cs="宋体"/>
                <w:sz w:val="24"/>
              </w:rPr>
              <w:t>3.48</w:t>
            </w:r>
          </w:p>
        </w:tc>
        <w:tc>
          <w:tcPr>
            <w:tcW w:w="2268" w:type="dxa"/>
            <w:vAlign w:val="center"/>
          </w:tcPr>
          <w:p w14:paraId="659D612A">
            <w:pPr>
              <w:widowControl/>
              <w:jc w:val="center"/>
              <w:rPr>
                <w:rFonts w:ascii="宋体" w:hAnsi="宋体" w:cs="宋体"/>
                <w:sz w:val="24"/>
              </w:rPr>
            </w:pPr>
            <w:r>
              <w:rPr>
                <w:rFonts w:hint="eastAsia" w:ascii="宋体" w:hAnsi="宋体" w:cs="宋体"/>
                <w:sz w:val="24"/>
              </w:rPr>
              <w:t>77.33%</w:t>
            </w:r>
          </w:p>
        </w:tc>
      </w:tr>
      <w:tr w14:paraId="650E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4045C387">
            <w:pPr>
              <w:widowControl/>
              <w:jc w:val="left"/>
              <w:rPr>
                <w:rFonts w:ascii="宋体" w:hAnsi="宋体" w:cs="宋体"/>
                <w:kern w:val="0"/>
                <w:sz w:val="24"/>
              </w:rPr>
            </w:pPr>
            <w:r>
              <w:rPr>
                <w:rFonts w:hint="eastAsia" w:ascii="宋体" w:hAnsi="宋体" w:cs="宋体"/>
                <w:sz w:val="24"/>
              </w:rPr>
              <w:t>苏州市工业企业增资扩产奖励资金</w:t>
            </w:r>
          </w:p>
        </w:tc>
        <w:tc>
          <w:tcPr>
            <w:tcW w:w="2268" w:type="dxa"/>
            <w:vAlign w:val="center"/>
          </w:tcPr>
          <w:p w14:paraId="17475A42">
            <w:pPr>
              <w:widowControl/>
              <w:jc w:val="center"/>
              <w:rPr>
                <w:rFonts w:ascii="宋体" w:hAnsi="宋体" w:cs="宋体"/>
                <w:kern w:val="0"/>
                <w:sz w:val="24"/>
              </w:rPr>
            </w:pPr>
            <w:r>
              <w:rPr>
                <w:rFonts w:hint="eastAsia" w:ascii="宋体" w:hAnsi="宋体" w:cs="宋体"/>
                <w:sz w:val="24"/>
              </w:rPr>
              <w:t>30000</w:t>
            </w:r>
          </w:p>
        </w:tc>
        <w:tc>
          <w:tcPr>
            <w:tcW w:w="2268" w:type="dxa"/>
            <w:vAlign w:val="center"/>
          </w:tcPr>
          <w:p w14:paraId="1E3DC583">
            <w:pPr>
              <w:widowControl/>
              <w:jc w:val="center"/>
              <w:rPr>
                <w:rFonts w:ascii="宋体" w:hAnsi="宋体" w:cs="宋体"/>
                <w:sz w:val="24"/>
              </w:rPr>
            </w:pPr>
          </w:p>
        </w:tc>
        <w:tc>
          <w:tcPr>
            <w:tcW w:w="2268" w:type="dxa"/>
            <w:vAlign w:val="center"/>
          </w:tcPr>
          <w:p w14:paraId="266EDD7C">
            <w:pPr>
              <w:widowControl/>
              <w:jc w:val="center"/>
              <w:rPr>
                <w:rFonts w:ascii="宋体" w:hAnsi="宋体" w:cs="宋体"/>
                <w:sz w:val="24"/>
              </w:rPr>
            </w:pPr>
            <w:r>
              <w:rPr>
                <w:rFonts w:hint="eastAsia" w:ascii="宋体" w:hAnsi="宋体" w:cs="宋体"/>
                <w:sz w:val="24"/>
              </w:rPr>
              <w:t>30000</w:t>
            </w:r>
          </w:p>
        </w:tc>
        <w:tc>
          <w:tcPr>
            <w:tcW w:w="2268" w:type="dxa"/>
            <w:vAlign w:val="center"/>
          </w:tcPr>
          <w:p w14:paraId="33610F55">
            <w:pPr>
              <w:widowControl/>
              <w:jc w:val="center"/>
              <w:rPr>
                <w:rFonts w:ascii="宋体" w:hAnsi="宋体" w:cs="宋体"/>
                <w:sz w:val="24"/>
              </w:rPr>
            </w:pPr>
            <w:r>
              <w:rPr>
                <w:rFonts w:hint="eastAsia" w:ascii="宋体" w:hAnsi="宋体" w:cs="宋体"/>
                <w:sz w:val="24"/>
              </w:rPr>
              <w:t>14675.35</w:t>
            </w:r>
          </w:p>
        </w:tc>
        <w:tc>
          <w:tcPr>
            <w:tcW w:w="2268" w:type="dxa"/>
            <w:vAlign w:val="center"/>
          </w:tcPr>
          <w:p w14:paraId="64FE5B53">
            <w:pPr>
              <w:widowControl/>
              <w:jc w:val="center"/>
              <w:rPr>
                <w:rFonts w:ascii="宋体" w:hAnsi="宋体" w:cs="宋体"/>
                <w:sz w:val="24"/>
              </w:rPr>
            </w:pPr>
            <w:r>
              <w:rPr>
                <w:rFonts w:hint="eastAsia" w:ascii="宋体" w:hAnsi="宋体" w:cs="宋体"/>
                <w:sz w:val="24"/>
              </w:rPr>
              <w:t>48.92%</w:t>
            </w:r>
          </w:p>
        </w:tc>
      </w:tr>
    </w:tbl>
    <w:p w14:paraId="4CDECE75">
      <w:pPr>
        <w:spacing w:line="360" w:lineRule="auto"/>
        <w:ind w:left="600"/>
        <w:rPr>
          <w:rFonts w:ascii="黑体" w:hAnsi="黑体" w:eastAsia="黑体"/>
          <w:sz w:val="30"/>
        </w:rPr>
      </w:pPr>
    </w:p>
    <w:p w14:paraId="711184B4">
      <w:pPr>
        <w:numPr>
          <w:ilvl w:val="0"/>
          <w:numId w:val="3"/>
        </w:numPr>
        <w:spacing w:line="360" w:lineRule="auto"/>
        <w:ind w:left="600"/>
        <w:rPr>
          <w:rFonts w:ascii="黑体" w:hAnsi="黑体" w:eastAsia="黑体"/>
          <w:sz w:val="30"/>
        </w:rPr>
      </w:pPr>
      <w:r>
        <w:rPr>
          <w:rFonts w:hint="eastAsia" w:ascii="黑体" w:hAnsi="黑体" w:eastAsia="黑体"/>
          <w:sz w:val="30"/>
        </w:rPr>
        <w:t>年度重点任务</w:t>
      </w:r>
    </w:p>
    <w:p w14:paraId="247B798A">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681E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676C810E">
            <w:pPr>
              <w:widowControl/>
              <w:jc w:val="center"/>
              <w:rPr>
                <w:rFonts w:ascii="宋体" w:hAnsi="宋体" w:cs="宋体"/>
                <w:b/>
                <w:bCs/>
                <w:kern w:val="0"/>
                <w:sz w:val="24"/>
              </w:rPr>
            </w:pPr>
          </w:p>
          <w:p w14:paraId="15B70900">
            <w:pPr>
              <w:widowControl/>
              <w:jc w:val="center"/>
              <w:rPr>
                <w:rFonts w:ascii="宋体" w:hAnsi="宋体" w:cs="宋体"/>
                <w:b/>
                <w:bCs/>
                <w:kern w:val="0"/>
                <w:sz w:val="24"/>
              </w:rPr>
            </w:pPr>
            <w:r>
              <w:rPr>
                <w:rFonts w:hint="eastAsia" w:ascii="宋体" w:hAnsi="宋体" w:cs="宋体"/>
                <w:b/>
                <w:bCs/>
                <w:kern w:val="0"/>
                <w:sz w:val="24"/>
              </w:rPr>
              <w:t>对应部门主要职责</w:t>
            </w:r>
          </w:p>
          <w:p w14:paraId="66B6ABE9">
            <w:pPr>
              <w:widowControl/>
              <w:jc w:val="center"/>
              <w:rPr>
                <w:rFonts w:ascii="宋体" w:hAnsi="宋体" w:cs="宋体"/>
                <w:b/>
                <w:bCs/>
                <w:kern w:val="0"/>
                <w:sz w:val="24"/>
              </w:rPr>
            </w:pPr>
          </w:p>
        </w:tc>
        <w:tc>
          <w:tcPr>
            <w:tcW w:w="3818" w:type="dxa"/>
            <w:shd w:val="clear" w:color="000000" w:fill="BFBFBF"/>
            <w:vAlign w:val="center"/>
          </w:tcPr>
          <w:p w14:paraId="0F8B1DD4">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6A40B433">
            <w:pPr>
              <w:widowControl/>
              <w:jc w:val="center"/>
              <w:rPr>
                <w:rFonts w:ascii="宋体" w:hAnsi="宋体" w:cs="宋体"/>
                <w:b/>
                <w:bCs/>
                <w:kern w:val="0"/>
                <w:sz w:val="24"/>
              </w:rPr>
            </w:pPr>
            <w:r>
              <w:rPr>
                <w:rFonts w:hint="eastAsia" w:ascii="宋体" w:hAnsi="宋体" w:cs="宋体"/>
                <w:b/>
                <w:bCs/>
                <w:kern w:val="0"/>
                <w:sz w:val="24"/>
              </w:rPr>
              <w:t>完成情况</w:t>
            </w:r>
          </w:p>
        </w:tc>
      </w:tr>
      <w:tr w14:paraId="2510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18992D3A">
            <w:pPr>
              <w:widowControl/>
              <w:jc w:val="center"/>
              <w:rPr>
                <w:rFonts w:ascii="宋体" w:hAnsi="宋体" w:cs="宋体"/>
                <w:kern w:val="0"/>
                <w:sz w:val="24"/>
              </w:rPr>
            </w:pPr>
            <w:r>
              <w:rPr>
                <w:rFonts w:hint="eastAsia" w:ascii="宋体" w:hAnsi="宋体" w:cs="宋体"/>
                <w:sz w:val="24"/>
              </w:rPr>
              <w:t>负责全市工业和信息化领域的投资和技术改造相关工作。提出工业和信息化领域固定资产投资方向、规模，按规定权限管理工业和信息化领域固定资产投资项目，牵头推进重大工业项目建设。拟订并实施推进企业技术改造的有关政策、规划。</w:t>
            </w:r>
          </w:p>
        </w:tc>
        <w:tc>
          <w:tcPr>
            <w:tcW w:w="3818" w:type="dxa"/>
            <w:vAlign w:val="center"/>
          </w:tcPr>
          <w:p w14:paraId="71025826">
            <w:pPr>
              <w:widowControl/>
              <w:jc w:val="center"/>
              <w:rPr>
                <w:rFonts w:ascii="宋体" w:hAnsi="宋体" w:cs="宋体"/>
                <w:sz w:val="24"/>
              </w:rPr>
            </w:pPr>
            <w:r>
              <w:rPr>
                <w:rFonts w:hint="eastAsia" w:ascii="宋体" w:hAnsi="宋体" w:cs="宋体"/>
                <w:sz w:val="24"/>
              </w:rPr>
              <w:t>组织实施国家、省有关技术改造项目计划，落实增资扩产奖励资金项目。</w:t>
            </w:r>
          </w:p>
        </w:tc>
        <w:tc>
          <w:tcPr>
            <w:tcW w:w="6280" w:type="dxa"/>
            <w:vAlign w:val="center"/>
          </w:tcPr>
          <w:p w14:paraId="07C29069">
            <w:pPr>
              <w:widowControl/>
              <w:jc w:val="center"/>
              <w:rPr>
                <w:rFonts w:ascii="宋体" w:hAnsi="宋体" w:cs="宋体"/>
                <w:sz w:val="24"/>
              </w:rPr>
            </w:pPr>
            <w:r>
              <w:rPr>
                <w:rFonts w:hint="eastAsia" w:ascii="宋体" w:hAnsi="宋体" w:cs="宋体"/>
                <w:sz w:val="24"/>
              </w:rPr>
              <w:t>成功入选国家首批制造业新型技术改造城市试点。组织开展2023年度苏州市工业企业有效投入奖补资金申报工作，通过“直达快享”对270家工业企业有效投入奖补1.36亿元。</w:t>
            </w:r>
          </w:p>
        </w:tc>
      </w:tr>
      <w:tr w14:paraId="1FBC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4B889F1D">
            <w:pPr>
              <w:widowControl/>
              <w:jc w:val="center"/>
              <w:rPr>
                <w:rFonts w:ascii="宋体" w:hAnsi="宋体" w:cs="宋体"/>
                <w:kern w:val="0"/>
                <w:sz w:val="24"/>
              </w:rPr>
            </w:pPr>
          </w:p>
        </w:tc>
        <w:tc>
          <w:tcPr>
            <w:tcW w:w="3818" w:type="dxa"/>
            <w:vAlign w:val="center"/>
          </w:tcPr>
          <w:p w14:paraId="44DCE40E">
            <w:pPr>
              <w:widowControl/>
              <w:jc w:val="center"/>
              <w:rPr>
                <w:rFonts w:ascii="宋体" w:hAnsi="宋体" w:cs="宋体"/>
                <w:sz w:val="24"/>
              </w:rPr>
            </w:pPr>
            <w:r>
              <w:rPr>
                <w:rFonts w:hint="eastAsia" w:ascii="宋体" w:hAnsi="宋体" w:cs="宋体"/>
                <w:sz w:val="24"/>
              </w:rPr>
              <w:t>提出全市工业和信息化领域投资和技术改造的方向、规模，编制并组织实施工业投资、技术改造规划及年度计划。</w:t>
            </w:r>
          </w:p>
        </w:tc>
        <w:tc>
          <w:tcPr>
            <w:tcW w:w="6280" w:type="dxa"/>
            <w:vAlign w:val="center"/>
          </w:tcPr>
          <w:p w14:paraId="4CE36B23">
            <w:pPr>
              <w:widowControl/>
              <w:jc w:val="center"/>
              <w:rPr>
                <w:rFonts w:ascii="宋体" w:hAnsi="宋体" w:cs="宋体"/>
                <w:sz w:val="24"/>
              </w:rPr>
            </w:pPr>
            <w:r>
              <w:rPr>
                <w:rFonts w:hint="eastAsia" w:ascii="宋体" w:hAnsi="宋体" w:cs="宋体"/>
                <w:sz w:val="24"/>
              </w:rPr>
              <w:t>出台《苏州市推动工业领域设备更新实施方案》,提出全市工业和信息化领域投资和技术改造重点任务和工作计划。持续扩大工业有效投入，2024年全市完成工业投资2121.9亿元。全市增资扩产项目共计1436个，在建项目全年完成投资超1189亿元。</w:t>
            </w:r>
          </w:p>
        </w:tc>
      </w:tr>
      <w:tr w14:paraId="4CC27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441D349E">
            <w:pPr>
              <w:widowControl/>
              <w:jc w:val="center"/>
              <w:rPr>
                <w:rFonts w:ascii="宋体" w:hAnsi="宋体" w:cs="宋体"/>
                <w:kern w:val="0"/>
                <w:sz w:val="24"/>
              </w:rPr>
            </w:pPr>
            <w:r>
              <w:rPr>
                <w:rFonts w:hint="eastAsia" w:ascii="宋体" w:hAnsi="宋体" w:cs="宋体"/>
                <w:sz w:val="24"/>
              </w:rPr>
              <w:t>负责全市工业和信息化领域的行业管理。研究提出推动行业发展、加强行业管理的政策建议，拟订并实施行业发展规划、准入标准，协调解决行业发展中相关问题。负责工业和信息化应急管理、产业安全和国防动员有关工作。负责管理全市食盐专营工作和全市盐业行业管理。指导相关行业安全生产工作。指导工业和信息化领域的对外交流与合作。</w:t>
            </w:r>
          </w:p>
        </w:tc>
        <w:tc>
          <w:tcPr>
            <w:tcW w:w="3818" w:type="dxa"/>
            <w:vAlign w:val="center"/>
          </w:tcPr>
          <w:p w14:paraId="69C90D8E">
            <w:pPr>
              <w:widowControl/>
              <w:jc w:val="center"/>
              <w:rPr>
                <w:rFonts w:ascii="宋体" w:hAnsi="宋体" w:cs="宋体"/>
                <w:sz w:val="24"/>
              </w:rPr>
            </w:pPr>
            <w:r>
              <w:rPr>
                <w:rFonts w:hint="eastAsia" w:ascii="宋体" w:hAnsi="宋体" w:cs="宋体"/>
                <w:sz w:val="24"/>
              </w:rPr>
              <w:t>开展电子信息产业重点领域发展规划（调研报告）编制工作。</w:t>
            </w:r>
          </w:p>
        </w:tc>
        <w:tc>
          <w:tcPr>
            <w:tcW w:w="6280" w:type="dxa"/>
            <w:vAlign w:val="center"/>
          </w:tcPr>
          <w:p w14:paraId="5DDF98AB">
            <w:pPr>
              <w:widowControl/>
              <w:jc w:val="center"/>
              <w:rPr>
                <w:rFonts w:ascii="宋体" w:hAnsi="宋体" w:cs="宋体"/>
                <w:sz w:val="24"/>
              </w:rPr>
            </w:pPr>
            <w:r>
              <w:rPr>
                <w:rFonts w:hint="eastAsia" w:ascii="宋体" w:hAnsi="宋体" w:cs="宋体"/>
                <w:sz w:val="24"/>
              </w:rPr>
              <w:t>全面梳理消费电子产业发展情况，开展产业调研，摸清家底，明晰产业发展路径，编制形成全市消费电子产业发展报告。</w:t>
            </w:r>
          </w:p>
        </w:tc>
      </w:tr>
      <w:tr w14:paraId="57BAE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25891DF4">
            <w:pPr>
              <w:widowControl/>
              <w:jc w:val="center"/>
              <w:rPr>
                <w:rFonts w:ascii="宋体" w:hAnsi="宋体" w:cs="宋体"/>
                <w:kern w:val="0"/>
                <w:sz w:val="24"/>
              </w:rPr>
            </w:pPr>
          </w:p>
        </w:tc>
        <w:tc>
          <w:tcPr>
            <w:tcW w:w="3818" w:type="dxa"/>
            <w:vAlign w:val="center"/>
          </w:tcPr>
          <w:p w14:paraId="3E656CFE">
            <w:pPr>
              <w:widowControl/>
              <w:jc w:val="center"/>
              <w:rPr>
                <w:rFonts w:ascii="宋体" w:hAnsi="宋体" w:cs="宋体"/>
                <w:sz w:val="24"/>
              </w:rPr>
            </w:pPr>
            <w:r>
              <w:rPr>
                <w:rFonts w:hint="eastAsia" w:ascii="宋体" w:hAnsi="宋体" w:cs="宋体"/>
                <w:sz w:val="24"/>
              </w:rPr>
              <w:t>强化全市集成电路产业年报统计工作。</w:t>
            </w:r>
          </w:p>
        </w:tc>
        <w:tc>
          <w:tcPr>
            <w:tcW w:w="6280" w:type="dxa"/>
            <w:vAlign w:val="center"/>
          </w:tcPr>
          <w:p w14:paraId="6D95F5F5">
            <w:pPr>
              <w:widowControl/>
              <w:jc w:val="center"/>
              <w:rPr>
                <w:rFonts w:ascii="宋体" w:hAnsi="宋体" w:cs="宋体"/>
                <w:sz w:val="24"/>
              </w:rPr>
            </w:pPr>
            <w:r>
              <w:rPr>
                <w:rFonts w:hint="eastAsia" w:ascii="宋体" w:hAnsi="宋体" w:cs="宋体"/>
                <w:sz w:val="24"/>
              </w:rPr>
              <w:t>印发关于开展全市集成电路产业年报统计工作的通知，组织各县级市（区）扎实完成集成电路统计工作，为全年工作提供数据依据。</w:t>
            </w:r>
          </w:p>
        </w:tc>
      </w:tr>
      <w:tr w14:paraId="7798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18EE63A9">
            <w:pPr>
              <w:widowControl/>
              <w:jc w:val="center"/>
              <w:rPr>
                <w:rFonts w:ascii="宋体" w:hAnsi="宋体" w:cs="宋体"/>
                <w:kern w:val="0"/>
                <w:sz w:val="24"/>
              </w:rPr>
            </w:pPr>
          </w:p>
        </w:tc>
        <w:tc>
          <w:tcPr>
            <w:tcW w:w="3818" w:type="dxa"/>
            <w:vAlign w:val="center"/>
          </w:tcPr>
          <w:p w14:paraId="06545457">
            <w:pPr>
              <w:widowControl/>
              <w:jc w:val="center"/>
              <w:rPr>
                <w:rFonts w:ascii="宋体" w:hAnsi="宋体" w:cs="宋体"/>
                <w:sz w:val="24"/>
              </w:rPr>
            </w:pPr>
            <w:r>
              <w:rPr>
                <w:rFonts w:hint="eastAsia" w:ascii="宋体" w:hAnsi="宋体" w:cs="宋体"/>
                <w:sz w:val="24"/>
              </w:rPr>
              <w:t>管理全市食盐专营工作和开展全市盐业行业管理。</w:t>
            </w:r>
          </w:p>
        </w:tc>
        <w:tc>
          <w:tcPr>
            <w:tcW w:w="6280" w:type="dxa"/>
            <w:vAlign w:val="center"/>
          </w:tcPr>
          <w:p w14:paraId="67BF14E3">
            <w:pPr>
              <w:widowControl/>
              <w:jc w:val="center"/>
              <w:rPr>
                <w:rFonts w:ascii="宋体" w:hAnsi="宋体" w:cs="宋体"/>
                <w:sz w:val="24"/>
              </w:rPr>
            </w:pPr>
            <w:r>
              <w:rPr>
                <w:rFonts w:hint="eastAsia" w:ascii="宋体" w:hAnsi="宋体" w:cs="宋体"/>
                <w:sz w:val="24"/>
              </w:rPr>
              <w:t>从2023年6月1日起至2026年5月31日止，由苏州市盐业有限公司选派15名具有经验专业人员协助市场监管和相关工作。建立政府食盐储备制度，确保自然灾害等突发事件发生时全市食盐的安全供应。由市盐业公司承担储备任务，每年储备食3550吨，一年轮储2次。</w:t>
            </w:r>
          </w:p>
        </w:tc>
      </w:tr>
      <w:tr w14:paraId="6B14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Align w:val="center"/>
          </w:tcPr>
          <w:p w14:paraId="64B388A7">
            <w:pPr>
              <w:widowControl/>
              <w:jc w:val="center"/>
              <w:rPr>
                <w:rFonts w:ascii="宋体" w:hAnsi="宋体" w:cs="宋体"/>
                <w:kern w:val="0"/>
                <w:sz w:val="24"/>
              </w:rPr>
            </w:pPr>
            <w:r>
              <w:rPr>
                <w:rFonts w:hint="eastAsia" w:ascii="宋体" w:hAnsi="宋体" w:cs="宋体"/>
                <w:sz w:val="24"/>
              </w:rPr>
              <w:t>负责全市工业和信息化运行监测协调。拟订并实施近期工业、信息化运行调控目标、政策措施，开展企业信息采集、行业统计分析和产业发展报告等工作，进行监测预警、预期引导，协调解决运行发展中的相关问题。</w:t>
            </w:r>
          </w:p>
        </w:tc>
        <w:tc>
          <w:tcPr>
            <w:tcW w:w="3818" w:type="dxa"/>
            <w:vAlign w:val="center"/>
          </w:tcPr>
          <w:p w14:paraId="71E94333">
            <w:pPr>
              <w:widowControl/>
              <w:jc w:val="center"/>
              <w:rPr>
                <w:rFonts w:ascii="宋体" w:hAnsi="宋体" w:cs="宋体"/>
                <w:sz w:val="24"/>
              </w:rPr>
            </w:pPr>
            <w:r>
              <w:rPr>
                <w:rFonts w:hint="eastAsia" w:ascii="宋体" w:hAnsi="宋体" w:cs="宋体"/>
                <w:sz w:val="24"/>
              </w:rPr>
              <w:t>维护工业企业资源集约利用平台，进行工业企业资源集约利用综合评价。</w:t>
            </w:r>
          </w:p>
        </w:tc>
        <w:tc>
          <w:tcPr>
            <w:tcW w:w="6280" w:type="dxa"/>
            <w:vAlign w:val="center"/>
          </w:tcPr>
          <w:p w14:paraId="232A5A46">
            <w:pPr>
              <w:widowControl/>
              <w:jc w:val="center"/>
              <w:rPr>
                <w:rFonts w:ascii="宋体" w:hAnsi="宋体" w:cs="宋体"/>
                <w:sz w:val="24"/>
              </w:rPr>
            </w:pPr>
            <w:r>
              <w:rPr>
                <w:rFonts w:hint="eastAsia" w:ascii="宋体" w:hAnsi="宋体" w:cs="宋体"/>
                <w:sz w:val="24"/>
              </w:rPr>
              <w:t>持续完善苏州市工业企业资源集约利用信息系统，全面梳理在库企业数据。结合税务、统计、资规、供电等部门数据，按照有资源占用（土地、用电、能耗等）或有经营数据（税收、销售）的归集标准，开展2023年度报告编制工作，完成了《2023年度苏州市工业企业资源集约利用综合评价报告》。</w:t>
            </w:r>
          </w:p>
        </w:tc>
      </w:tr>
      <w:tr w14:paraId="5C4E7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3D66CCE6">
            <w:pPr>
              <w:widowControl/>
              <w:jc w:val="center"/>
              <w:rPr>
                <w:rFonts w:ascii="宋体" w:hAnsi="宋体" w:cs="宋体"/>
                <w:kern w:val="0"/>
                <w:sz w:val="24"/>
              </w:rPr>
            </w:pPr>
            <w:r>
              <w:rPr>
                <w:rFonts w:hint="eastAsia" w:ascii="宋体" w:hAnsi="宋体" w:cs="宋体"/>
                <w:sz w:val="24"/>
              </w:rPr>
              <w:t>负责全市中小企业和民营经济发展的宏观指导和服务。会同有关部门拟订促进中小企业和民营经济发展的政策措施，协调解决发展中的有关问题。负责中小企业公共服务平台和社会化服务体系建设。开展中小企业梯次培育，推进中小企业专精特新发展，培育“隐形冠军”企业，促进中小企业与大企业融通发展。</w:t>
            </w:r>
          </w:p>
        </w:tc>
        <w:tc>
          <w:tcPr>
            <w:tcW w:w="3818" w:type="dxa"/>
            <w:vAlign w:val="center"/>
          </w:tcPr>
          <w:p w14:paraId="2A32C6D4">
            <w:pPr>
              <w:widowControl/>
              <w:jc w:val="center"/>
              <w:rPr>
                <w:rFonts w:ascii="宋体" w:hAnsi="宋体" w:cs="宋体"/>
                <w:sz w:val="24"/>
              </w:rPr>
            </w:pPr>
            <w:r>
              <w:rPr>
                <w:rFonts w:hint="eastAsia" w:ascii="宋体" w:hAnsi="宋体" w:cs="宋体"/>
                <w:sz w:val="24"/>
              </w:rPr>
              <w:t>组织申报制造业单项冠军企业。</w:t>
            </w:r>
            <w:r>
              <w:rPr>
                <w:rFonts w:hint="eastAsia" w:ascii="宋体" w:hAnsi="宋体" w:cs="宋体"/>
                <w:sz w:val="24"/>
              </w:rPr>
              <w:tab/>
            </w:r>
          </w:p>
        </w:tc>
        <w:tc>
          <w:tcPr>
            <w:tcW w:w="6280" w:type="dxa"/>
            <w:vAlign w:val="center"/>
          </w:tcPr>
          <w:p w14:paraId="797B87DC">
            <w:pPr>
              <w:widowControl/>
              <w:jc w:val="center"/>
              <w:rPr>
                <w:rFonts w:ascii="宋体" w:hAnsi="宋体" w:cs="宋体"/>
                <w:sz w:val="24"/>
              </w:rPr>
            </w:pPr>
            <w:r>
              <w:rPr>
                <w:rFonts w:hint="eastAsia" w:ascii="宋体" w:hAnsi="宋体" w:cs="宋体"/>
                <w:sz w:val="24"/>
              </w:rPr>
              <w:t>组织企业申报制造业单项冠军企业，国家评审中。</w:t>
            </w:r>
          </w:p>
        </w:tc>
      </w:tr>
      <w:tr w14:paraId="51898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649CFCA0">
            <w:pPr>
              <w:widowControl/>
              <w:jc w:val="center"/>
              <w:rPr>
                <w:rFonts w:ascii="宋体" w:hAnsi="宋体" w:cs="宋体"/>
                <w:kern w:val="0"/>
                <w:sz w:val="24"/>
              </w:rPr>
            </w:pPr>
          </w:p>
        </w:tc>
        <w:tc>
          <w:tcPr>
            <w:tcW w:w="3818" w:type="dxa"/>
            <w:vAlign w:val="center"/>
          </w:tcPr>
          <w:p w14:paraId="0F2F7C82">
            <w:pPr>
              <w:widowControl/>
              <w:jc w:val="center"/>
              <w:rPr>
                <w:rFonts w:ascii="宋体" w:hAnsi="宋体" w:cs="宋体"/>
                <w:sz w:val="24"/>
              </w:rPr>
            </w:pPr>
            <w:r>
              <w:rPr>
                <w:rFonts w:hint="eastAsia" w:ascii="宋体" w:hAnsi="宋体" w:cs="宋体"/>
                <w:sz w:val="24"/>
              </w:rPr>
              <w:t>组织申报国家专精特新“小巨人”企业。</w:t>
            </w:r>
          </w:p>
        </w:tc>
        <w:tc>
          <w:tcPr>
            <w:tcW w:w="6280" w:type="dxa"/>
            <w:vAlign w:val="center"/>
          </w:tcPr>
          <w:p w14:paraId="4303B13C">
            <w:pPr>
              <w:widowControl/>
              <w:jc w:val="center"/>
              <w:rPr>
                <w:rFonts w:ascii="宋体" w:hAnsi="宋体" w:cs="宋体"/>
                <w:sz w:val="24"/>
              </w:rPr>
            </w:pPr>
            <w:r>
              <w:rPr>
                <w:rFonts w:hint="eastAsia" w:ascii="宋体" w:hAnsi="宋体" w:cs="宋体"/>
                <w:sz w:val="24"/>
              </w:rPr>
              <w:t>组织企业申报国家专精特新“小巨人”企业，新增国家级专精特新“小巨人”企业206家，省级专精特新中小企业1079家。</w:t>
            </w:r>
          </w:p>
        </w:tc>
      </w:tr>
      <w:tr w14:paraId="7EA9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7EF450B7">
            <w:pPr>
              <w:widowControl/>
              <w:jc w:val="center"/>
              <w:rPr>
                <w:rFonts w:ascii="宋体" w:hAnsi="宋体" w:cs="宋体"/>
                <w:kern w:val="0"/>
                <w:sz w:val="24"/>
              </w:rPr>
            </w:pPr>
          </w:p>
        </w:tc>
        <w:tc>
          <w:tcPr>
            <w:tcW w:w="3818" w:type="dxa"/>
            <w:vAlign w:val="center"/>
          </w:tcPr>
          <w:p w14:paraId="2EAB421F">
            <w:pPr>
              <w:widowControl/>
              <w:jc w:val="center"/>
              <w:rPr>
                <w:rFonts w:ascii="宋体" w:hAnsi="宋体" w:cs="宋体"/>
                <w:sz w:val="24"/>
              </w:rPr>
            </w:pPr>
            <w:r>
              <w:rPr>
                <w:rFonts w:hint="eastAsia" w:ascii="宋体" w:hAnsi="宋体" w:cs="宋体"/>
                <w:sz w:val="24"/>
              </w:rPr>
              <w:t>组织申报2023年省级中小企业公共服务示范平台。</w:t>
            </w:r>
          </w:p>
        </w:tc>
        <w:tc>
          <w:tcPr>
            <w:tcW w:w="6280" w:type="dxa"/>
            <w:vAlign w:val="center"/>
          </w:tcPr>
          <w:p w14:paraId="1998FE66">
            <w:pPr>
              <w:widowControl/>
              <w:jc w:val="center"/>
              <w:rPr>
                <w:rFonts w:ascii="宋体" w:hAnsi="宋体" w:cs="宋体"/>
                <w:sz w:val="24"/>
              </w:rPr>
            </w:pPr>
            <w:r>
              <w:rPr>
                <w:rFonts w:hint="eastAsia" w:ascii="宋体" w:hAnsi="宋体" w:cs="宋体"/>
                <w:sz w:val="24"/>
              </w:rPr>
              <w:t>共22家平台获评省级中小企业公共服务示范平台。</w:t>
            </w:r>
          </w:p>
        </w:tc>
      </w:tr>
      <w:tr w14:paraId="4FDB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58765D61">
            <w:pPr>
              <w:widowControl/>
              <w:jc w:val="center"/>
              <w:rPr>
                <w:rFonts w:ascii="宋体" w:hAnsi="宋体" w:cs="宋体"/>
                <w:kern w:val="0"/>
                <w:sz w:val="24"/>
              </w:rPr>
            </w:pPr>
          </w:p>
        </w:tc>
        <w:tc>
          <w:tcPr>
            <w:tcW w:w="3818" w:type="dxa"/>
            <w:vAlign w:val="center"/>
          </w:tcPr>
          <w:p w14:paraId="171FCD57">
            <w:pPr>
              <w:widowControl/>
              <w:jc w:val="center"/>
              <w:rPr>
                <w:rFonts w:ascii="宋体" w:hAnsi="宋体" w:cs="宋体"/>
                <w:sz w:val="24"/>
              </w:rPr>
            </w:pPr>
            <w:r>
              <w:rPr>
                <w:rFonts w:hint="eastAsia" w:ascii="宋体" w:hAnsi="宋体" w:cs="宋体"/>
                <w:sz w:val="24"/>
              </w:rPr>
              <w:t>组织参与产业对口帮扶合作、协助对口地区在苏产业推介和调研活动。</w:t>
            </w:r>
          </w:p>
        </w:tc>
        <w:tc>
          <w:tcPr>
            <w:tcW w:w="6280" w:type="dxa"/>
            <w:vAlign w:val="center"/>
          </w:tcPr>
          <w:p w14:paraId="1C6FEBFC">
            <w:pPr>
              <w:widowControl/>
              <w:jc w:val="center"/>
              <w:rPr>
                <w:rFonts w:ascii="宋体" w:hAnsi="宋体" w:cs="宋体"/>
                <w:sz w:val="24"/>
              </w:rPr>
            </w:pPr>
            <w:r>
              <w:rPr>
                <w:rFonts w:hint="eastAsia" w:ascii="宋体" w:hAnsi="宋体" w:cs="宋体"/>
                <w:sz w:val="24"/>
              </w:rPr>
              <w:t>积极推进双方产业合作，加强企业对接交流，通过东西部扶贫协作优势互补，取得共赢发展。分别与乌鲁木齐、信阳、锦州、宿迁、淮安等地对口部门开展产业对接交流，并与淮安市工信局、金湖县政府，宁淮产业园，宿迁市工信局、苏宿园区召开三场座谈会。</w:t>
            </w:r>
          </w:p>
        </w:tc>
      </w:tr>
      <w:tr w14:paraId="298A2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29FBF60D">
            <w:pPr>
              <w:widowControl/>
              <w:jc w:val="center"/>
              <w:rPr>
                <w:rFonts w:ascii="宋体" w:hAnsi="宋体" w:cs="宋体"/>
                <w:kern w:val="0"/>
                <w:sz w:val="24"/>
              </w:rPr>
            </w:pPr>
            <w:r>
              <w:rPr>
                <w:rFonts w:hint="eastAsia" w:ascii="宋体" w:hAnsi="宋体" w:cs="宋体"/>
                <w:sz w:val="24"/>
              </w:rPr>
              <w:t>负责全市自主可控的先进制造业体系建设。推动提升关键技术的控制力、产业集群的带动力、产业链条的整合力、信息化的引领力和标准的主导力。推动工业和信息化领域技术创新，推进产业创新体系和能力建设。组织实施重大技术装备攻关。推广应用新技术、新材料、新工艺，促进产学研用结合和技术成果转化。协同推进工业和信息化领域品牌、质量、标准、知识产权等工作。</w:t>
            </w:r>
          </w:p>
        </w:tc>
        <w:tc>
          <w:tcPr>
            <w:tcW w:w="3818" w:type="dxa"/>
            <w:vAlign w:val="center"/>
          </w:tcPr>
          <w:p w14:paraId="7D734178">
            <w:pPr>
              <w:widowControl/>
              <w:jc w:val="center"/>
              <w:rPr>
                <w:rFonts w:ascii="宋体" w:hAnsi="宋体" w:cs="宋体"/>
                <w:sz w:val="24"/>
              </w:rPr>
            </w:pPr>
            <w:r>
              <w:rPr>
                <w:rFonts w:hint="eastAsia" w:ascii="宋体" w:hAnsi="宋体" w:cs="宋体"/>
                <w:sz w:val="24"/>
              </w:rPr>
              <w:t>推动以企业为主体的技术创新体系建设；组织工业和信息化领域重大技术攻关和创新能力提升项目。</w:t>
            </w:r>
          </w:p>
        </w:tc>
        <w:tc>
          <w:tcPr>
            <w:tcW w:w="6280" w:type="dxa"/>
            <w:vAlign w:val="center"/>
          </w:tcPr>
          <w:p w14:paraId="43DCC7CF">
            <w:pPr>
              <w:widowControl/>
              <w:jc w:val="center"/>
              <w:rPr>
                <w:rFonts w:ascii="宋体" w:hAnsi="宋体" w:cs="宋体"/>
                <w:sz w:val="24"/>
              </w:rPr>
            </w:pPr>
            <w:r>
              <w:rPr>
                <w:rFonts w:hint="eastAsia" w:ascii="宋体" w:hAnsi="宋体" w:cs="宋体"/>
                <w:sz w:val="24"/>
              </w:rPr>
              <w:t>持续建设省海洋信息技术与装备创新中心，力争尽快具备国家级制造业创新中心升格条件。聚焦光伏新能源装备制造、汽车电子芯片、高温超导带材等优势产业链，支持龙头企业创建省级制造业创新中心。出台《苏州市创新领军企业先进技术研究院实施意见》，进一步发挥龙头企业在全市创新格局中的引领作用，围绕先进制造业集群和重点产业链，支持自主创新能力强、发展潜力大的企业建设先进技术研究院。</w:t>
            </w:r>
          </w:p>
        </w:tc>
      </w:tr>
      <w:tr w14:paraId="2AA8C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69319218">
            <w:pPr>
              <w:widowControl/>
              <w:jc w:val="center"/>
              <w:rPr>
                <w:rFonts w:ascii="宋体" w:hAnsi="宋体" w:cs="宋体"/>
                <w:kern w:val="0"/>
                <w:sz w:val="24"/>
              </w:rPr>
            </w:pPr>
          </w:p>
        </w:tc>
        <w:tc>
          <w:tcPr>
            <w:tcW w:w="3818" w:type="dxa"/>
            <w:vAlign w:val="center"/>
          </w:tcPr>
          <w:p w14:paraId="542F8419">
            <w:pPr>
              <w:widowControl/>
              <w:jc w:val="center"/>
              <w:rPr>
                <w:rFonts w:ascii="宋体" w:hAnsi="宋体" w:cs="宋体"/>
                <w:sz w:val="24"/>
              </w:rPr>
            </w:pPr>
            <w:r>
              <w:rPr>
                <w:rFonts w:hint="eastAsia" w:ascii="宋体" w:hAnsi="宋体" w:cs="宋体"/>
                <w:sz w:val="24"/>
              </w:rPr>
              <w:t>首台（套）重大技术装备认定和奖励</w:t>
            </w:r>
          </w:p>
        </w:tc>
        <w:tc>
          <w:tcPr>
            <w:tcW w:w="6280" w:type="dxa"/>
            <w:vAlign w:val="center"/>
          </w:tcPr>
          <w:p w14:paraId="62FC2350">
            <w:pPr>
              <w:widowControl/>
              <w:jc w:val="center"/>
              <w:rPr>
                <w:rFonts w:ascii="宋体" w:hAnsi="宋体" w:cs="宋体"/>
                <w:sz w:val="24"/>
              </w:rPr>
            </w:pPr>
            <w:r>
              <w:rPr>
                <w:rFonts w:hint="eastAsia" w:ascii="宋体" w:hAnsi="宋体" w:cs="宋体"/>
                <w:sz w:val="24"/>
              </w:rPr>
              <w:t>我局和无锡、常州工信部门联合启动2024年度“苏锡常”首台套重大装备认定工作，我市共30台（套）获得认定，待三地联合发文正式公布。截止目前累计认定苏锡常”首台套重大装备90个。拟组织对2022年度新增认定的市级以上首台（套）重大技术装备共24个项目实施奖励，拟与市级打造先进制造业基地专项资金同步进行。</w:t>
            </w:r>
          </w:p>
        </w:tc>
      </w:tr>
      <w:tr w14:paraId="1D349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48E474BB">
            <w:pPr>
              <w:widowControl/>
              <w:jc w:val="center"/>
              <w:rPr>
                <w:rFonts w:ascii="宋体" w:hAnsi="宋体" w:cs="宋体"/>
                <w:kern w:val="0"/>
                <w:sz w:val="24"/>
              </w:rPr>
            </w:pPr>
            <w:r>
              <w:rPr>
                <w:rFonts w:hint="eastAsia" w:ascii="宋体" w:hAnsi="宋体" w:cs="宋体"/>
                <w:sz w:val="24"/>
              </w:rPr>
              <w:t>负责推进工业化和信息化融合发展。指导推进“互联网+先进制造业”、人工智能与制造业融合创新应用、智能制造发展和产业数字化转型。指导推进工业信息安全保障工作。</w:t>
            </w:r>
          </w:p>
        </w:tc>
        <w:tc>
          <w:tcPr>
            <w:tcW w:w="3818" w:type="dxa"/>
            <w:vAlign w:val="center"/>
          </w:tcPr>
          <w:p w14:paraId="7270F173">
            <w:pPr>
              <w:widowControl/>
              <w:jc w:val="center"/>
              <w:rPr>
                <w:rFonts w:ascii="宋体" w:hAnsi="宋体" w:cs="宋体"/>
                <w:sz w:val="24"/>
              </w:rPr>
            </w:pPr>
            <w:r>
              <w:rPr>
                <w:rFonts w:hint="eastAsia" w:ascii="宋体" w:hAnsi="宋体" w:cs="宋体"/>
                <w:sz w:val="24"/>
              </w:rPr>
              <w:t>开展智能制造诊断服务，鼓励引导企业加大智能化改造数字化转型投入，提升智能制造水平。</w:t>
            </w:r>
          </w:p>
        </w:tc>
        <w:tc>
          <w:tcPr>
            <w:tcW w:w="6280" w:type="dxa"/>
            <w:vAlign w:val="center"/>
          </w:tcPr>
          <w:p w14:paraId="10044650">
            <w:pPr>
              <w:widowControl/>
              <w:jc w:val="center"/>
              <w:rPr>
                <w:rFonts w:ascii="宋体" w:hAnsi="宋体" w:cs="宋体"/>
                <w:sz w:val="24"/>
              </w:rPr>
            </w:pPr>
            <w:r>
              <w:rPr>
                <w:rFonts w:hint="eastAsia" w:ascii="宋体" w:hAnsi="宋体" w:cs="宋体"/>
                <w:sz w:val="24"/>
              </w:rPr>
              <w:t>按照政府采购规定遴选诊断服务机构和监理服务机构为全市80个智能工厂和299个智能车间提供诊断服务。诊断服务机构深入企业，把脉问诊智改数转网联难题，为企业提供个性化诊断报告，助力制造业提升智能制造水平，监理机构对诊断服务进行全过程监督。</w:t>
            </w:r>
          </w:p>
        </w:tc>
      </w:tr>
      <w:tr w14:paraId="7B56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2CFEDF02">
            <w:pPr>
              <w:widowControl/>
              <w:jc w:val="center"/>
              <w:rPr>
                <w:rFonts w:ascii="宋体" w:hAnsi="宋体" w:cs="宋体"/>
                <w:kern w:val="0"/>
                <w:sz w:val="24"/>
              </w:rPr>
            </w:pPr>
          </w:p>
        </w:tc>
        <w:tc>
          <w:tcPr>
            <w:tcW w:w="3818" w:type="dxa"/>
            <w:vAlign w:val="center"/>
          </w:tcPr>
          <w:p w14:paraId="74DF9484">
            <w:pPr>
              <w:widowControl/>
              <w:jc w:val="center"/>
              <w:rPr>
                <w:rFonts w:ascii="宋体" w:hAnsi="宋体" w:cs="宋体"/>
                <w:sz w:val="24"/>
              </w:rPr>
            </w:pPr>
            <w:r>
              <w:rPr>
                <w:rFonts w:hint="eastAsia" w:ascii="宋体" w:hAnsi="宋体" w:cs="宋体"/>
                <w:sz w:val="24"/>
              </w:rPr>
              <w:t>指导企业通过上云用云开展数字化转型，组织运营商、云服务商与企业对接合作，降低用云成本，打造一批江苏省星级上云企业。</w:t>
            </w:r>
          </w:p>
        </w:tc>
        <w:tc>
          <w:tcPr>
            <w:tcW w:w="6280" w:type="dxa"/>
            <w:vAlign w:val="center"/>
          </w:tcPr>
          <w:p w14:paraId="04B9CA50">
            <w:pPr>
              <w:widowControl/>
              <w:jc w:val="center"/>
              <w:rPr>
                <w:rFonts w:ascii="宋体" w:hAnsi="宋体" w:cs="宋体"/>
                <w:sz w:val="24"/>
              </w:rPr>
            </w:pPr>
            <w:r>
              <w:rPr>
                <w:rFonts w:hint="eastAsia" w:ascii="宋体" w:hAnsi="宋体" w:cs="宋体"/>
                <w:sz w:val="24"/>
              </w:rPr>
              <w:t>组织企业与平台服务商对接，降低数字化转型成本与门槛，累计组织9场企业上云政策宣贯会、供需对接会。全年新增省级星级上云企业1972家，其中五星级企业195家、四星级企业346家、三星级企业1431家，数量均为全省第一。</w:t>
            </w:r>
          </w:p>
        </w:tc>
      </w:tr>
      <w:tr w14:paraId="3FDFF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523591F7">
            <w:pPr>
              <w:widowControl/>
              <w:jc w:val="center"/>
              <w:rPr>
                <w:rFonts w:ascii="宋体" w:hAnsi="宋体" w:cs="宋体"/>
                <w:kern w:val="0"/>
                <w:sz w:val="24"/>
              </w:rPr>
            </w:pPr>
          </w:p>
        </w:tc>
        <w:tc>
          <w:tcPr>
            <w:tcW w:w="3818" w:type="dxa"/>
            <w:vAlign w:val="center"/>
          </w:tcPr>
          <w:p w14:paraId="7C3DA6F2">
            <w:pPr>
              <w:widowControl/>
              <w:jc w:val="center"/>
              <w:rPr>
                <w:rFonts w:ascii="宋体" w:hAnsi="宋体" w:cs="宋体"/>
                <w:sz w:val="24"/>
              </w:rPr>
            </w:pPr>
            <w:r>
              <w:rPr>
                <w:rFonts w:hint="eastAsia" w:ascii="宋体" w:hAnsi="宋体" w:cs="宋体"/>
                <w:sz w:val="24"/>
              </w:rPr>
              <w:t>培育创建示范智能工厂、车间，树立打造一批标杆示范，引领企业转型发展。</w:t>
            </w:r>
          </w:p>
        </w:tc>
        <w:tc>
          <w:tcPr>
            <w:tcW w:w="6280" w:type="dxa"/>
            <w:vAlign w:val="center"/>
          </w:tcPr>
          <w:p w14:paraId="235D041D">
            <w:pPr>
              <w:widowControl/>
              <w:jc w:val="center"/>
              <w:rPr>
                <w:rFonts w:ascii="宋体" w:hAnsi="宋体" w:cs="宋体"/>
                <w:sz w:val="24"/>
              </w:rPr>
            </w:pPr>
            <w:r>
              <w:rPr>
                <w:rFonts w:hint="eastAsia" w:ascii="宋体" w:hAnsi="宋体" w:cs="宋体"/>
                <w:sz w:val="24"/>
              </w:rPr>
              <w:t>启动智改数转网联新一轮三年行动计划，保持规上工业企业动态全覆盖。新增省智能工厂33家、省智能车间224家、省智改数转网联标杆企业1家。评选36家市级智能工厂、193家市级智能车间，持续培育壮大标杆示范企业梯队。</w:t>
            </w:r>
          </w:p>
        </w:tc>
      </w:tr>
      <w:tr w14:paraId="228E9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5D03141C">
            <w:pPr>
              <w:widowControl/>
              <w:jc w:val="center"/>
              <w:rPr>
                <w:rFonts w:ascii="宋体" w:hAnsi="宋体" w:cs="宋体"/>
                <w:kern w:val="0"/>
                <w:sz w:val="24"/>
              </w:rPr>
            </w:pPr>
          </w:p>
        </w:tc>
        <w:tc>
          <w:tcPr>
            <w:tcW w:w="3818" w:type="dxa"/>
            <w:vAlign w:val="center"/>
          </w:tcPr>
          <w:p w14:paraId="42D9B315">
            <w:pPr>
              <w:widowControl/>
              <w:jc w:val="center"/>
              <w:rPr>
                <w:rFonts w:ascii="宋体" w:hAnsi="宋体" w:cs="宋体"/>
                <w:sz w:val="24"/>
              </w:rPr>
            </w:pPr>
            <w:r>
              <w:rPr>
                <w:rFonts w:hint="eastAsia" w:ascii="宋体" w:hAnsi="宋体" w:cs="宋体"/>
                <w:sz w:val="24"/>
              </w:rPr>
              <w:t>全面推动中小企业数字化转型升级，促进数字经济和实体经济深度融合，打造一批数字化转型示范企业。</w:t>
            </w:r>
          </w:p>
        </w:tc>
        <w:tc>
          <w:tcPr>
            <w:tcW w:w="6280" w:type="dxa"/>
            <w:vAlign w:val="center"/>
          </w:tcPr>
          <w:p w14:paraId="1AA8B2B7">
            <w:pPr>
              <w:widowControl/>
              <w:jc w:val="center"/>
              <w:rPr>
                <w:rFonts w:ascii="宋体" w:hAnsi="宋体" w:cs="宋体"/>
                <w:sz w:val="24"/>
              </w:rPr>
            </w:pPr>
            <w:r>
              <w:rPr>
                <w:rFonts w:hint="eastAsia" w:ascii="宋体" w:hAnsi="宋体" w:cs="宋体"/>
                <w:sz w:val="24"/>
              </w:rPr>
              <w:t>组织10多场数字化转型试点宣贯会、对接会。建设1个公共服务总平台和两个细分行业平台。全年已完成试点中小企业数字化签约240多家，172家企业已着手实施。组织30期数字化转型系列课程和访谈节目。建设试点专家库和数字化服务商队伍。</w:t>
            </w:r>
          </w:p>
        </w:tc>
      </w:tr>
      <w:tr w14:paraId="2E8F8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0DD2308F">
            <w:pPr>
              <w:widowControl/>
              <w:jc w:val="center"/>
              <w:rPr>
                <w:rFonts w:ascii="宋体" w:hAnsi="宋体" w:cs="宋体"/>
                <w:kern w:val="0"/>
                <w:sz w:val="24"/>
              </w:rPr>
            </w:pPr>
          </w:p>
        </w:tc>
        <w:tc>
          <w:tcPr>
            <w:tcW w:w="3818" w:type="dxa"/>
            <w:vAlign w:val="center"/>
          </w:tcPr>
          <w:p w14:paraId="3CA09B1A">
            <w:pPr>
              <w:widowControl/>
              <w:jc w:val="center"/>
              <w:rPr>
                <w:rFonts w:ascii="宋体" w:hAnsi="宋体" w:cs="宋体"/>
                <w:sz w:val="24"/>
              </w:rPr>
            </w:pPr>
            <w:r>
              <w:rPr>
                <w:rFonts w:hint="eastAsia" w:ascii="宋体" w:hAnsi="宋体" w:cs="宋体"/>
                <w:sz w:val="24"/>
              </w:rPr>
              <w:t>培育壮大智能化改造数字化转型服务机构，支撑赋能制造业企业转型升级。</w:t>
            </w:r>
          </w:p>
        </w:tc>
        <w:tc>
          <w:tcPr>
            <w:tcW w:w="6280" w:type="dxa"/>
            <w:vAlign w:val="center"/>
          </w:tcPr>
          <w:p w14:paraId="5C93F987">
            <w:pPr>
              <w:widowControl/>
              <w:jc w:val="center"/>
              <w:rPr>
                <w:rFonts w:ascii="宋体" w:hAnsi="宋体" w:cs="宋体"/>
                <w:sz w:val="24"/>
              </w:rPr>
            </w:pPr>
            <w:r>
              <w:rPr>
                <w:rFonts w:hint="eastAsia" w:ascii="宋体" w:hAnsi="宋体" w:cs="宋体"/>
                <w:sz w:val="24"/>
              </w:rPr>
              <w:t>为鼓励智能制造服务机构进一步提升综合服务能力，支撑我市制造业企业开展智改数转网联，助力新型工业化建设，开展智能制造优秀服务商遴选工作，经企业申报、各地推荐、专家评审和公示等环节，共评选28家市级智能制造优秀服务商。</w:t>
            </w:r>
          </w:p>
        </w:tc>
      </w:tr>
      <w:tr w14:paraId="5C3E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Align w:val="center"/>
          </w:tcPr>
          <w:p w14:paraId="09CD7983">
            <w:pPr>
              <w:widowControl/>
              <w:jc w:val="center"/>
              <w:rPr>
                <w:rFonts w:ascii="宋体" w:hAnsi="宋体" w:cs="宋体"/>
                <w:kern w:val="0"/>
                <w:sz w:val="24"/>
              </w:rPr>
            </w:pPr>
            <w:r>
              <w:rPr>
                <w:rFonts w:hint="eastAsia" w:ascii="宋体" w:hAnsi="宋体" w:cs="宋体"/>
                <w:sz w:val="24"/>
              </w:rPr>
              <w:t>培育发展全市大企业大集团和龙头骨干企业。拟订并实施培育发展大企业大集团、龙头骨干企业的政策措施。推动企业管理创新和建立现代企业制度，推动企业家队伍建设和产业人才开发，组织指导企业经营管理人才教育培训。协调企业重大资产重组项目。牵头推进企业减负降本。</w:t>
            </w:r>
          </w:p>
        </w:tc>
        <w:tc>
          <w:tcPr>
            <w:tcW w:w="3818" w:type="dxa"/>
            <w:vAlign w:val="center"/>
          </w:tcPr>
          <w:p w14:paraId="4893D949">
            <w:pPr>
              <w:widowControl/>
              <w:jc w:val="center"/>
              <w:rPr>
                <w:rFonts w:ascii="宋体" w:hAnsi="宋体" w:cs="宋体"/>
                <w:sz w:val="24"/>
              </w:rPr>
            </w:pPr>
            <w:r>
              <w:rPr>
                <w:rFonts w:hint="eastAsia" w:ascii="宋体" w:hAnsi="宋体" w:cs="宋体"/>
                <w:sz w:val="24"/>
              </w:rPr>
              <w:t>组织企业申报市级兼并重组项目。</w:t>
            </w:r>
          </w:p>
        </w:tc>
        <w:tc>
          <w:tcPr>
            <w:tcW w:w="6280" w:type="dxa"/>
            <w:vAlign w:val="center"/>
          </w:tcPr>
          <w:p w14:paraId="029B20C8">
            <w:pPr>
              <w:widowControl/>
              <w:jc w:val="center"/>
              <w:rPr>
                <w:rFonts w:ascii="宋体" w:hAnsi="宋体" w:cs="宋体"/>
                <w:sz w:val="24"/>
              </w:rPr>
            </w:pPr>
            <w:r>
              <w:rPr>
                <w:rFonts w:hint="eastAsia" w:ascii="宋体" w:hAnsi="宋体" w:cs="宋体"/>
                <w:sz w:val="24"/>
              </w:rPr>
              <w:t>对2023年度符合申报条件的6个企业进行资金奖补。2024年度市级打造先进制造业基地专项资金整体申报延后。</w:t>
            </w:r>
          </w:p>
        </w:tc>
      </w:tr>
      <w:tr w14:paraId="32BA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727E2310">
            <w:pPr>
              <w:widowControl/>
              <w:jc w:val="center"/>
              <w:rPr>
                <w:rFonts w:ascii="宋体" w:hAnsi="宋体" w:cs="宋体"/>
                <w:kern w:val="0"/>
                <w:sz w:val="24"/>
              </w:rPr>
            </w:pPr>
            <w:r>
              <w:rPr>
                <w:rFonts w:hint="eastAsia" w:ascii="宋体" w:hAnsi="宋体" w:cs="宋体"/>
                <w:sz w:val="24"/>
              </w:rPr>
              <w:t>统筹推进全市信息化发展。协调推进经济和社会信息化发展、智慧苏州建设等工作，深化信息技术应用。协调相关信息基础设施建设，组织推进通信网、广播电视网、计算机网等“多网”融合发展。协调信息服务业领域涉及公共社会利益的相关事项，推动跨行业、跨部门的互连互通。根据省级授权，负责全市无线电管理。</w:t>
            </w:r>
          </w:p>
        </w:tc>
        <w:tc>
          <w:tcPr>
            <w:tcW w:w="3818" w:type="dxa"/>
            <w:vAlign w:val="center"/>
          </w:tcPr>
          <w:p w14:paraId="4AE0B5CE">
            <w:pPr>
              <w:widowControl/>
              <w:jc w:val="center"/>
              <w:rPr>
                <w:rFonts w:ascii="宋体" w:hAnsi="宋体" w:cs="宋体"/>
                <w:sz w:val="24"/>
              </w:rPr>
            </w:pPr>
            <w:r>
              <w:rPr>
                <w:rFonts w:hint="eastAsia" w:ascii="宋体" w:hAnsi="宋体" w:cs="宋体"/>
                <w:sz w:val="24"/>
              </w:rPr>
              <w:t>规划和指配无线电频率，核发无线电台执照及电台识别码（含呼号）</w:t>
            </w:r>
          </w:p>
        </w:tc>
        <w:tc>
          <w:tcPr>
            <w:tcW w:w="6280" w:type="dxa"/>
            <w:vAlign w:val="center"/>
          </w:tcPr>
          <w:p w14:paraId="537830D0">
            <w:pPr>
              <w:widowControl/>
              <w:jc w:val="center"/>
              <w:rPr>
                <w:rFonts w:ascii="宋体" w:hAnsi="宋体" w:cs="宋体"/>
                <w:sz w:val="24"/>
              </w:rPr>
            </w:pPr>
            <w:r>
              <w:rPr>
                <w:rFonts w:hint="eastAsia" w:ascii="宋体" w:hAnsi="宋体" w:cs="宋体"/>
                <w:sz w:val="24"/>
              </w:rPr>
              <w:t>全年无线电频率许可新增频点86组，延续频点51组；许可无线电台站数37021个，其中5G基站许可33056个；甚高频对讲机、800MHz集群对讲、1.4GHz/1.8GHz专网对讲共计3123个。</w:t>
            </w:r>
          </w:p>
        </w:tc>
      </w:tr>
      <w:tr w14:paraId="343A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07600BE3">
            <w:pPr>
              <w:widowControl/>
              <w:jc w:val="center"/>
              <w:rPr>
                <w:rFonts w:ascii="宋体" w:hAnsi="宋体" w:cs="宋体"/>
                <w:kern w:val="0"/>
                <w:sz w:val="24"/>
              </w:rPr>
            </w:pPr>
          </w:p>
        </w:tc>
        <w:tc>
          <w:tcPr>
            <w:tcW w:w="3818" w:type="dxa"/>
            <w:vAlign w:val="center"/>
          </w:tcPr>
          <w:p w14:paraId="416A3E2F">
            <w:pPr>
              <w:widowControl/>
              <w:jc w:val="center"/>
              <w:rPr>
                <w:rFonts w:ascii="宋体" w:hAnsi="宋体" w:cs="宋体"/>
                <w:sz w:val="24"/>
              </w:rPr>
            </w:pPr>
            <w:r>
              <w:rPr>
                <w:rFonts w:hint="eastAsia" w:ascii="宋体" w:hAnsi="宋体" w:cs="宋体"/>
                <w:sz w:val="24"/>
              </w:rPr>
              <w:t>为高考、司法考试等重大考试做好保障。</w:t>
            </w:r>
          </w:p>
        </w:tc>
        <w:tc>
          <w:tcPr>
            <w:tcW w:w="6280" w:type="dxa"/>
            <w:vAlign w:val="center"/>
          </w:tcPr>
          <w:p w14:paraId="3E213231">
            <w:pPr>
              <w:widowControl/>
              <w:jc w:val="center"/>
              <w:rPr>
                <w:rFonts w:ascii="宋体" w:hAnsi="宋体" w:cs="宋体"/>
                <w:sz w:val="24"/>
              </w:rPr>
            </w:pPr>
            <w:r>
              <w:rPr>
                <w:rFonts w:hint="eastAsia" w:ascii="宋体" w:hAnsi="宋体" w:cs="宋体"/>
                <w:sz w:val="24"/>
              </w:rPr>
              <w:t>开展重大活动无线电安全保障，在高考、公务员考试等考试期间开展“打击利用无线电设备进行考试作弊”工作。</w:t>
            </w:r>
          </w:p>
        </w:tc>
      </w:tr>
      <w:tr w14:paraId="1E04E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2FAF8B3B">
            <w:pPr>
              <w:widowControl/>
              <w:jc w:val="center"/>
              <w:rPr>
                <w:rFonts w:ascii="宋体" w:hAnsi="宋体" w:cs="宋体"/>
                <w:kern w:val="0"/>
                <w:sz w:val="24"/>
              </w:rPr>
            </w:pPr>
          </w:p>
        </w:tc>
        <w:tc>
          <w:tcPr>
            <w:tcW w:w="3818" w:type="dxa"/>
            <w:vAlign w:val="center"/>
          </w:tcPr>
          <w:p w14:paraId="0B602980">
            <w:pPr>
              <w:widowControl/>
              <w:jc w:val="center"/>
              <w:rPr>
                <w:rFonts w:ascii="宋体" w:hAnsi="宋体" w:cs="宋体"/>
                <w:sz w:val="24"/>
              </w:rPr>
            </w:pPr>
            <w:r>
              <w:rPr>
                <w:rFonts w:hint="eastAsia" w:ascii="宋体" w:hAnsi="宋体" w:cs="宋体"/>
                <w:sz w:val="24"/>
              </w:rPr>
              <w:t>征收2024年度频率占用费。</w:t>
            </w:r>
          </w:p>
        </w:tc>
        <w:tc>
          <w:tcPr>
            <w:tcW w:w="6280" w:type="dxa"/>
            <w:vAlign w:val="center"/>
          </w:tcPr>
          <w:p w14:paraId="17AD6692">
            <w:pPr>
              <w:widowControl/>
              <w:jc w:val="center"/>
              <w:rPr>
                <w:rFonts w:ascii="宋体" w:hAnsi="宋体" w:cs="宋体"/>
                <w:sz w:val="24"/>
              </w:rPr>
            </w:pPr>
            <w:r>
              <w:rPr>
                <w:rFonts w:hint="eastAsia" w:ascii="宋体" w:hAnsi="宋体" w:cs="宋体"/>
                <w:sz w:val="24"/>
              </w:rPr>
              <w:t>全年依法收缴频占费224万元，缴纳单位273家，完成全年收缴任务。</w:t>
            </w:r>
          </w:p>
        </w:tc>
      </w:tr>
      <w:tr w14:paraId="00003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Align w:val="center"/>
          </w:tcPr>
          <w:p w14:paraId="0C274787">
            <w:pPr>
              <w:widowControl/>
              <w:jc w:val="center"/>
              <w:rPr>
                <w:rFonts w:ascii="宋体" w:hAnsi="宋体" w:cs="宋体"/>
                <w:kern w:val="0"/>
                <w:sz w:val="24"/>
              </w:rPr>
            </w:pPr>
            <w:r>
              <w:rPr>
                <w:rFonts w:hint="eastAsia" w:ascii="宋体" w:hAnsi="宋体" w:cs="宋体"/>
                <w:sz w:val="24"/>
              </w:rPr>
              <w:t>推动全市工业和信息化领域的战略性新兴产业发展。研究拟订并实施推动工业和信息化领域的战略性新兴产业发展的政策意见，组织实施有关重大专项，培育新产业、新技术、新业态、新模式。</w:t>
            </w:r>
          </w:p>
        </w:tc>
        <w:tc>
          <w:tcPr>
            <w:tcW w:w="3818" w:type="dxa"/>
            <w:vAlign w:val="center"/>
          </w:tcPr>
          <w:p w14:paraId="12B1CE4E">
            <w:pPr>
              <w:widowControl/>
              <w:jc w:val="center"/>
              <w:rPr>
                <w:rFonts w:ascii="宋体" w:hAnsi="宋体" w:cs="宋体"/>
                <w:sz w:val="24"/>
              </w:rPr>
            </w:pPr>
            <w:r>
              <w:rPr>
                <w:rFonts w:hint="eastAsia" w:ascii="宋体" w:hAnsi="宋体" w:cs="宋体"/>
                <w:sz w:val="24"/>
              </w:rPr>
              <w:t>生物医药潜力地标企业培育。</w:t>
            </w:r>
          </w:p>
        </w:tc>
        <w:tc>
          <w:tcPr>
            <w:tcW w:w="6280" w:type="dxa"/>
            <w:vAlign w:val="center"/>
          </w:tcPr>
          <w:p w14:paraId="47632CB1">
            <w:pPr>
              <w:widowControl/>
              <w:jc w:val="center"/>
              <w:rPr>
                <w:rFonts w:ascii="宋体" w:hAnsi="宋体" w:cs="宋体"/>
                <w:sz w:val="24"/>
              </w:rPr>
            </w:pPr>
            <w:r>
              <w:rPr>
                <w:rFonts w:hint="eastAsia" w:ascii="宋体" w:hAnsi="宋体" w:cs="宋体"/>
                <w:sz w:val="24"/>
              </w:rPr>
              <w:t>建立涵盖专利数量、研发投入、技术水平、市场潜力、研发进展等指标的企业筛选指标体系，在全市范围内，每年滚动筛选出15家左右潜力地标企业，进行重点培育，优先支持企业对上争取各级人才类、科技类、商务类、产业类等专项政策，并在产品审批、金融对接、市场拓展等方面提供服务，切实解决企业发展过程中遇到的问题，加速企业成长进度，力争5-10年内形成细分领域领军企业。</w:t>
            </w:r>
          </w:p>
        </w:tc>
      </w:tr>
      <w:tr w14:paraId="380F4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593C0C13">
            <w:pPr>
              <w:widowControl/>
              <w:jc w:val="center"/>
              <w:rPr>
                <w:rFonts w:ascii="宋体" w:hAnsi="宋体" w:cs="宋体"/>
                <w:kern w:val="0"/>
                <w:sz w:val="24"/>
              </w:rPr>
            </w:pPr>
            <w:r>
              <w:rPr>
                <w:rFonts w:hint="eastAsia" w:ascii="宋体" w:hAnsi="宋体" w:cs="宋体"/>
                <w:sz w:val="24"/>
              </w:rPr>
              <w:t>推进全市工业和信息化高质量发展。根据全市经济社会发展总体规划，制定实施工业和信息化高质量发展的产业政策、发展规划，提出优化产业布局、调整产业结构、推动产业转型升级的政策建议，推进信息化与工业化深度融合。按分工承担供给侧结构性改革任务。</w:t>
            </w:r>
          </w:p>
        </w:tc>
        <w:tc>
          <w:tcPr>
            <w:tcW w:w="3818" w:type="dxa"/>
            <w:vAlign w:val="center"/>
          </w:tcPr>
          <w:p w14:paraId="6094C704">
            <w:pPr>
              <w:widowControl/>
              <w:jc w:val="center"/>
              <w:rPr>
                <w:rFonts w:ascii="宋体" w:hAnsi="宋体" w:cs="宋体"/>
                <w:sz w:val="24"/>
              </w:rPr>
            </w:pPr>
            <w:r>
              <w:rPr>
                <w:rFonts w:hint="eastAsia" w:ascii="宋体" w:hAnsi="宋体" w:cs="宋体"/>
                <w:sz w:val="24"/>
              </w:rPr>
              <w:t>围绕重点工作，在市级及以上媒体上开展专题宣传，以及其他重点宣传工作。</w:t>
            </w:r>
          </w:p>
        </w:tc>
        <w:tc>
          <w:tcPr>
            <w:tcW w:w="6280" w:type="dxa"/>
            <w:vAlign w:val="center"/>
          </w:tcPr>
          <w:p w14:paraId="5EF64F71">
            <w:pPr>
              <w:widowControl/>
              <w:jc w:val="center"/>
              <w:rPr>
                <w:rFonts w:ascii="宋体" w:hAnsi="宋体" w:cs="宋体"/>
                <w:sz w:val="24"/>
              </w:rPr>
            </w:pPr>
            <w:r>
              <w:rPr>
                <w:rFonts w:hint="eastAsia" w:ascii="宋体" w:hAnsi="宋体" w:cs="宋体"/>
                <w:sz w:val="24"/>
              </w:rPr>
              <w:t>2024年，围绕打造“智造之城”、产业集群建设、产业链综合竞争力、产业结构优化升级、产业科技创新能力、企业梯度培育体系、智改数转网联、绿色低碳、制造业跨领域融合发展等方面，在苏州日报上刊发25篇宣传信息。2024年，全力做好“苏州工信”微信公众号日常对外发布信息的服务，优化和完善现有应用与服务功能，提升信息权威性和时效性，将“苏州工信”微信公众号打造成为苏州市工信局对企业提供权威信息发布、政策解读、企业服务最重要的窗口。</w:t>
            </w:r>
          </w:p>
        </w:tc>
      </w:tr>
      <w:tr w14:paraId="0B79E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2EBA7DEB">
            <w:pPr>
              <w:widowControl/>
              <w:jc w:val="center"/>
              <w:rPr>
                <w:rFonts w:ascii="宋体" w:hAnsi="宋体" w:cs="宋体"/>
                <w:kern w:val="0"/>
                <w:sz w:val="24"/>
              </w:rPr>
            </w:pPr>
          </w:p>
        </w:tc>
        <w:tc>
          <w:tcPr>
            <w:tcW w:w="3818" w:type="dxa"/>
            <w:vAlign w:val="center"/>
          </w:tcPr>
          <w:p w14:paraId="17B642C3">
            <w:pPr>
              <w:widowControl/>
              <w:jc w:val="center"/>
              <w:rPr>
                <w:rFonts w:ascii="宋体" w:hAnsi="宋体" w:cs="宋体"/>
                <w:sz w:val="24"/>
              </w:rPr>
            </w:pPr>
            <w:r>
              <w:rPr>
                <w:rFonts w:hint="eastAsia" w:ascii="宋体" w:hAnsi="宋体" w:cs="宋体"/>
                <w:sz w:val="24"/>
              </w:rPr>
              <w:t>支持在老旧工业区改造提升中推进工业上楼，给予“工业上楼”优秀项目贷款贴息奖励；重点对达到相应面积的老旧工业区连片改造提升项目分类进行资金奖补。</w:t>
            </w:r>
          </w:p>
        </w:tc>
        <w:tc>
          <w:tcPr>
            <w:tcW w:w="6280" w:type="dxa"/>
            <w:vAlign w:val="center"/>
          </w:tcPr>
          <w:p w14:paraId="4E5C927A">
            <w:pPr>
              <w:widowControl/>
              <w:jc w:val="center"/>
              <w:rPr>
                <w:rFonts w:ascii="宋体" w:hAnsi="宋体" w:cs="宋体"/>
                <w:sz w:val="24"/>
              </w:rPr>
            </w:pPr>
            <w:r>
              <w:rPr>
                <w:rFonts w:hint="eastAsia" w:ascii="宋体" w:hAnsi="宋体" w:cs="宋体"/>
                <w:sz w:val="24"/>
              </w:rPr>
              <w:t>联合市财政局，指导各地组织全市符合条件的企业，积极申报“工业上楼”项目贴息和老旧工业区改造提升项目奖励，完成28个“工业上楼”项目贴息和7个老旧工业区改造提升项目下达奖补资金2547万元。</w:t>
            </w:r>
          </w:p>
        </w:tc>
      </w:tr>
      <w:tr w14:paraId="38399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4EC4F2DB">
            <w:pPr>
              <w:widowControl/>
              <w:jc w:val="center"/>
              <w:rPr>
                <w:rFonts w:ascii="宋体" w:hAnsi="宋体" w:cs="宋体"/>
                <w:kern w:val="0"/>
                <w:sz w:val="24"/>
              </w:rPr>
            </w:pPr>
          </w:p>
        </w:tc>
        <w:tc>
          <w:tcPr>
            <w:tcW w:w="3818" w:type="dxa"/>
            <w:vAlign w:val="center"/>
          </w:tcPr>
          <w:p w14:paraId="5BDBECD8">
            <w:pPr>
              <w:widowControl/>
              <w:jc w:val="center"/>
              <w:rPr>
                <w:rFonts w:ascii="宋体" w:hAnsi="宋体" w:cs="宋体"/>
                <w:sz w:val="24"/>
              </w:rPr>
            </w:pPr>
            <w:r>
              <w:rPr>
                <w:rFonts w:hint="eastAsia" w:ascii="宋体" w:hAnsi="宋体" w:cs="宋体"/>
                <w:sz w:val="24"/>
              </w:rPr>
              <w:t>持续推进化工产业安全环保整治提升。</w:t>
            </w:r>
          </w:p>
        </w:tc>
        <w:tc>
          <w:tcPr>
            <w:tcW w:w="6280" w:type="dxa"/>
            <w:vAlign w:val="center"/>
          </w:tcPr>
          <w:p w14:paraId="4BC4A1A2">
            <w:pPr>
              <w:widowControl/>
              <w:jc w:val="center"/>
              <w:rPr>
                <w:rFonts w:ascii="宋体" w:hAnsi="宋体" w:cs="宋体"/>
                <w:sz w:val="24"/>
              </w:rPr>
            </w:pPr>
            <w:r>
              <w:rPr>
                <w:rFonts w:hint="eastAsia" w:ascii="宋体" w:hAnsi="宋体" w:cs="宋体"/>
                <w:sz w:val="24"/>
              </w:rPr>
              <w:t>2024年累计召开市级会商会4次，共会商通过9个项目，投资总额约5.95亿元。</w:t>
            </w:r>
          </w:p>
        </w:tc>
      </w:tr>
      <w:tr w14:paraId="289F6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73D07330">
            <w:pPr>
              <w:widowControl/>
              <w:jc w:val="center"/>
              <w:rPr>
                <w:rFonts w:ascii="宋体" w:hAnsi="宋体" w:cs="宋体"/>
                <w:kern w:val="0"/>
                <w:sz w:val="24"/>
              </w:rPr>
            </w:pPr>
          </w:p>
        </w:tc>
        <w:tc>
          <w:tcPr>
            <w:tcW w:w="3818" w:type="dxa"/>
            <w:vAlign w:val="center"/>
          </w:tcPr>
          <w:p w14:paraId="07045DA3">
            <w:pPr>
              <w:widowControl/>
              <w:jc w:val="center"/>
              <w:rPr>
                <w:rFonts w:ascii="宋体" w:hAnsi="宋体" w:cs="宋体"/>
                <w:sz w:val="24"/>
              </w:rPr>
            </w:pPr>
            <w:r>
              <w:rPr>
                <w:rFonts w:hint="eastAsia" w:ascii="宋体" w:hAnsi="宋体" w:cs="宋体"/>
                <w:sz w:val="24"/>
              </w:rPr>
              <w:t>围绕工业和信息化高质量发展，统筹开展重点课题调研。</w:t>
            </w:r>
          </w:p>
        </w:tc>
        <w:tc>
          <w:tcPr>
            <w:tcW w:w="6280" w:type="dxa"/>
            <w:vAlign w:val="center"/>
          </w:tcPr>
          <w:p w14:paraId="2D43A30D">
            <w:pPr>
              <w:widowControl/>
              <w:jc w:val="center"/>
              <w:rPr>
                <w:rFonts w:ascii="宋体" w:hAnsi="宋体" w:cs="宋体"/>
                <w:sz w:val="24"/>
              </w:rPr>
            </w:pPr>
            <w:r>
              <w:rPr>
                <w:rFonts w:hint="eastAsia" w:ascii="宋体" w:hAnsi="宋体" w:cs="宋体"/>
                <w:sz w:val="24"/>
              </w:rPr>
              <w:t>相关承办处室按照《政府采购内控管理制度（试行）》《苏州市工业和信息化局委托课题管理办法（2024年修订版）》等文件规定，落实采购、委托程序，共形成8篇高质量调研课题报告，其中3篇获领导批示。调研报告于2024年11月底前完成，对重点产业规模影响提升。</w:t>
            </w:r>
          </w:p>
        </w:tc>
      </w:tr>
      <w:tr w14:paraId="323E2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779C9C39">
            <w:pPr>
              <w:widowControl/>
              <w:jc w:val="center"/>
              <w:rPr>
                <w:rFonts w:ascii="宋体" w:hAnsi="宋体" w:cs="宋体"/>
                <w:kern w:val="0"/>
                <w:sz w:val="24"/>
              </w:rPr>
            </w:pPr>
            <w:r>
              <w:rPr>
                <w:rFonts w:hint="eastAsia" w:ascii="宋体" w:hAnsi="宋体" w:cs="宋体"/>
                <w:sz w:val="24"/>
              </w:rPr>
              <w:t>推进全市数字经济和大数据产业发展。拟订并实施促进工业和信息化领域数字经济和大数据产业发展的战略、规划和政策措施。推进信息产业发展和结构调整，培育推广云计算、物联网、人工智能等产业。</w:t>
            </w:r>
          </w:p>
        </w:tc>
        <w:tc>
          <w:tcPr>
            <w:tcW w:w="3818" w:type="dxa"/>
            <w:vAlign w:val="center"/>
          </w:tcPr>
          <w:p w14:paraId="5E21C89C">
            <w:pPr>
              <w:widowControl/>
              <w:jc w:val="center"/>
              <w:rPr>
                <w:rFonts w:ascii="宋体" w:hAnsi="宋体" w:cs="宋体"/>
                <w:sz w:val="24"/>
              </w:rPr>
            </w:pPr>
            <w:r>
              <w:rPr>
                <w:rFonts w:hint="eastAsia" w:ascii="宋体" w:hAnsi="宋体" w:cs="宋体"/>
                <w:sz w:val="24"/>
              </w:rPr>
              <w:t>组织苏州相关企业参加全国软件博览会。</w:t>
            </w:r>
          </w:p>
        </w:tc>
        <w:tc>
          <w:tcPr>
            <w:tcW w:w="6280" w:type="dxa"/>
            <w:vAlign w:val="center"/>
          </w:tcPr>
          <w:p w14:paraId="1B35B0FB">
            <w:pPr>
              <w:widowControl/>
              <w:jc w:val="center"/>
              <w:rPr>
                <w:rFonts w:ascii="宋体" w:hAnsi="宋体" w:cs="宋体"/>
                <w:sz w:val="24"/>
              </w:rPr>
            </w:pPr>
            <w:r>
              <w:rPr>
                <w:rFonts w:hint="eastAsia" w:ascii="宋体" w:hAnsi="宋体" w:cs="宋体"/>
                <w:sz w:val="24"/>
              </w:rPr>
              <w:t>组织50家左右苏州软件企业参加2024中国（南京）国际软件产业博览会和第二十二届中国国际软件合作洽谈会，加快苏州特色软件名城提档升级，为企业交流合作、参与市场竞争、提升品牌优势、推动软件产业创新发展、参与国内外合作发挥了重要作用。</w:t>
            </w:r>
          </w:p>
        </w:tc>
      </w:tr>
      <w:tr w14:paraId="5E0D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2018F760">
            <w:pPr>
              <w:widowControl/>
              <w:jc w:val="center"/>
              <w:rPr>
                <w:rFonts w:ascii="宋体" w:hAnsi="宋体" w:cs="宋体"/>
                <w:kern w:val="0"/>
                <w:sz w:val="24"/>
              </w:rPr>
            </w:pPr>
          </w:p>
        </w:tc>
        <w:tc>
          <w:tcPr>
            <w:tcW w:w="3818" w:type="dxa"/>
            <w:vAlign w:val="center"/>
          </w:tcPr>
          <w:p w14:paraId="742F1725">
            <w:pPr>
              <w:widowControl/>
              <w:jc w:val="center"/>
              <w:rPr>
                <w:rFonts w:ascii="宋体" w:hAnsi="宋体" w:cs="宋体"/>
                <w:sz w:val="24"/>
              </w:rPr>
            </w:pPr>
            <w:r>
              <w:rPr>
                <w:rFonts w:hint="eastAsia" w:ascii="宋体" w:hAnsi="宋体" w:cs="宋体"/>
                <w:sz w:val="24"/>
              </w:rPr>
              <w:t>评选苏州市软件和信息服务业推动数字产业化发展“头雁”企业。</w:t>
            </w:r>
          </w:p>
        </w:tc>
        <w:tc>
          <w:tcPr>
            <w:tcW w:w="6280" w:type="dxa"/>
            <w:vAlign w:val="center"/>
          </w:tcPr>
          <w:p w14:paraId="67F573C5">
            <w:pPr>
              <w:widowControl/>
              <w:jc w:val="center"/>
              <w:rPr>
                <w:rFonts w:ascii="宋体" w:hAnsi="宋体" w:cs="宋体"/>
                <w:sz w:val="24"/>
              </w:rPr>
            </w:pPr>
            <w:r>
              <w:rPr>
                <w:rFonts w:hint="eastAsia" w:ascii="宋体" w:hAnsi="宋体" w:cs="宋体"/>
                <w:sz w:val="24"/>
              </w:rPr>
              <w:t>新增软件头雁企业10家，重点瞄准工业软件、平台软件、云计算、大数据、人工智能、区块链等细分领域，通过评选一批专业技术能力强、发展成长性良好的骨干企业，带动细分领域规模化发展，加速构建以龙头企业为引领的产业发展态势，推进全市产业高质量发展。</w:t>
            </w:r>
          </w:p>
        </w:tc>
      </w:tr>
      <w:tr w14:paraId="4561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Align w:val="center"/>
          </w:tcPr>
          <w:p w14:paraId="23FD34CF">
            <w:pPr>
              <w:widowControl/>
              <w:jc w:val="center"/>
              <w:rPr>
                <w:rFonts w:ascii="宋体" w:hAnsi="宋体" w:cs="宋体"/>
                <w:kern w:val="0"/>
                <w:sz w:val="24"/>
              </w:rPr>
            </w:pPr>
            <w:r>
              <w:rPr>
                <w:rFonts w:hint="eastAsia" w:ascii="宋体" w:hAnsi="宋体" w:cs="宋体"/>
                <w:sz w:val="24"/>
              </w:rPr>
              <w:t>推进全市有关生产性服务业发展。拟订并实施服务型制造、工业和信息化领域生产性服务业发展政策，推动先进制造业和现代服务业深度融合。推动工业设计、现代物流、会展业等发展，负责工业遗产保护、工业文化建设和工业、信息产品市场建设等工作。</w:t>
            </w:r>
          </w:p>
        </w:tc>
        <w:tc>
          <w:tcPr>
            <w:tcW w:w="3818" w:type="dxa"/>
            <w:vAlign w:val="center"/>
          </w:tcPr>
          <w:p w14:paraId="4188389D">
            <w:pPr>
              <w:widowControl/>
              <w:jc w:val="center"/>
              <w:rPr>
                <w:rFonts w:ascii="宋体" w:hAnsi="宋体" w:cs="宋体"/>
                <w:sz w:val="24"/>
              </w:rPr>
            </w:pPr>
            <w:r>
              <w:rPr>
                <w:rFonts w:hint="eastAsia" w:ascii="宋体" w:hAnsi="宋体" w:cs="宋体"/>
                <w:sz w:val="24"/>
              </w:rPr>
              <w:t>推进纺织服装产业时尚化、品牌化、数字化、高端化、绿色化发展。</w:t>
            </w:r>
          </w:p>
        </w:tc>
        <w:tc>
          <w:tcPr>
            <w:tcW w:w="6280" w:type="dxa"/>
            <w:vAlign w:val="center"/>
          </w:tcPr>
          <w:p w14:paraId="114685A2">
            <w:pPr>
              <w:widowControl/>
              <w:jc w:val="center"/>
              <w:rPr>
                <w:rFonts w:ascii="宋体" w:hAnsi="宋体" w:cs="宋体"/>
                <w:sz w:val="24"/>
              </w:rPr>
            </w:pPr>
            <w:r>
              <w:rPr>
                <w:rFonts w:hint="eastAsia" w:ascii="宋体" w:hAnsi="宋体" w:cs="宋体"/>
                <w:sz w:val="24"/>
              </w:rPr>
              <w:t>举办“丝绸苏州2024”展览会，105 家丝绸企业参展，展览会三天现场线下零售交易额 1787.31 万，签约 5200 万，助力丝绸企业开拓市场、做大做强。2024“锦绣江南”中国（苏州）丝绸服装服饰设计大赛决赛共有 12 个系列作品入围。最终上久楷“无为”系列荣获金奖；绣娘丝绸的“盛世华章”系列以及红馆旗袍的“民国新潮·雅韵风华”系列获得银奖；王艺绣旗袍的“烟花三月”系列、伍氏旗袍的“不忘初心”系列、冯英旗袍的“水墨江南”系列获得铜奖。</w:t>
            </w:r>
          </w:p>
        </w:tc>
      </w:tr>
      <w:tr w14:paraId="6517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Align w:val="center"/>
          </w:tcPr>
          <w:p w14:paraId="5DC72FA9">
            <w:pPr>
              <w:widowControl/>
              <w:jc w:val="center"/>
              <w:rPr>
                <w:rFonts w:ascii="宋体" w:hAnsi="宋体" w:cs="宋体"/>
                <w:kern w:val="0"/>
                <w:sz w:val="24"/>
              </w:rPr>
            </w:pPr>
            <w:r>
              <w:rPr>
                <w:rFonts w:hint="eastAsia" w:ascii="宋体" w:hAnsi="宋体" w:cs="宋体"/>
                <w:sz w:val="24"/>
              </w:rPr>
              <w:t>推进制造强市建设。贯彻实施新型工业化发展战略，统筹推进制造强市建设重大工程，培育先进制造业集群，建设具有国际竞争力的先进制造业基地。</w:t>
            </w:r>
          </w:p>
        </w:tc>
        <w:tc>
          <w:tcPr>
            <w:tcW w:w="3818" w:type="dxa"/>
            <w:vAlign w:val="center"/>
          </w:tcPr>
          <w:p w14:paraId="0E138DE7">
            <w:pPr>
              <w:widowControl/>
              <w:jc w:val="center"/>
              <w:rPr>
                <w:rFonts w:ascii="宋体" w:hAnsi="宋体" w:cs="宋体"/>
                <w:sz w:val="24"/>
              </w:rPr>
            </w:pPr>
            <w:r>
              <w:rPr>
                <w:rFonts w:hint="eastAsia" w:ascii="宋体" w:hAnsi="宋体" w:cs="宋体"/>
                <w:sz w:val="24"/>
              </w:rPr>
              <w:t>打造先进制造业基地专项资金下达。</w:t>
            </w:r>
          </w:p>
        </w:tc>
        <w:tc>
          <w:tcPr>
            <w:tcW w:w="6280" w:type="dxa"/>
            <w:vAlign w:val="center"/>
          </w:tcPr>
          <w:p w14:paraId="30641C47">
            <w:pPr>
              <w:widowControl/>
              <w:jc w:val="center"/>
              <w:rPr>
                <w:rFonts w:ascii="宋体" w:hAnsi="宋体" w:cs="宋体"/>
                <w:sz w:val="24"/>
              </w:rPr>
            </w:pPr>
            <w:r>
              <w:rPr>
                <w:rFonts w:hint="eastAsia" w:ascii="宋体" w:hAnsi="宋体" w:cs="宋体"/>
                <w:sz w:val="24"/>
              </w:rPr>
              <w:t>加快龙头骨干企业培育，鼓励企业专精特新发展，不断壮大优质企业群体；加快产业链关键核心技术攻关，不断提升产业核心竞争力；加快制造业智能化改造和数字化转型，推进两化深度融合，不断提升融合发展水平；加快绿色改造升级，推动落后产能淘汰，不断提高产业绿色发展质量；加快产业服务平台建设，不断优化产业发展生态。</w:t>
            </w:r>
          </w:p>
        </w:tc>
      </w:tr>
      <w:tr w14:paraId="6E8F2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05D29C8E">
            <w:pPr>
              <w:widowControl/>
              <w:jc w:val="center"/>
              <w:rPr>
                <w:rFonts w:ascii="宋体" w:hAnsi="宋体" w:cs="宋体"/>
                <w:kern w:val="0"/>
                <w:sz w:val="24"/>
              </w:rPr>
            </w:pPr>
            <w:r>
              <w:rPr>
                <w:rFonts w:hint="eastAsia" w:ascii="宋体" w:hAnsi="宋体" w:cs="宋体"/>
                <w:sz w:val="24"/>
              </w:rPr>
              <w:t>综合协调全社会节能工作。拟订并实施全社会节能规划和工业、信息化领域能源节约、循环经济、能耗超限企业清洁生产、资源综合利用政策，开展节能监察管理和节能评估审查工作。推进绿色制造工程。指导全市墙体材料革新和发展散装水泥工作。</w:t>
            </w:r>
          </w:p>
        </w:tc>
        <w:tc>
          <w:tcPr>
            <w:tcW w:w="3818" w:type="dxa"/>
            <w:vAlign w:val="center"/>
          </w:tcPr>
          <w:p w14:paraId="4EF3D301">
            <w:pPr>
              <w:widowControl/>
              <w:jc w:val="center"/>
              <w:rPr>
                <w:rFonts w:ascii="宋体" w:hAnsi="宋体" w:cs="宋体"/>
                <w:sz w:val="24"/>
              </w:rPr>
            </w:pPr>
            <w:r>
              <w:rPr>
                <w:rFonts w:hint="eastAsia" w:ascii="宋体" w:hAnsi="宋体" w:cs="宋体"/>
                <w:sz w:val="24"/>
              </w:rPr>
              <w:t>组织申报国家级绿色制造体系建设。</w:t>
            </w:r>
          </w:p>
        </w:tc>
        <w:tc>
          <w:tcPr>
            <w:tcW w:w="6280" w:type="dxa"/>
            <w:vAlign w:val="center"/>
          </w:tcPr>
          <w:p w14:paraId="0C2A0DD6">
            <w:pPr>
              <w:widowControl/>
              <w:jc w:val="center"/>
              <w:rPr>
                <w:rFonts w:ascii="宋体" w:hAnsi="宋体" w:cs="宋体"/>
                <w:sz w:val="24"/>
              </w:rPr>
            </w:pPr>
            <w:r>
              <w:rPr>
                <w:rFonts w:hint="eastAsia" w:ascii="宋体" w:hAnsi="宋体" w:cs="宋体"/>
                <w:sz w:val="24"/>
              </w:rPr>
              <w:t>根据工信部《绿色工厂梯度培育及管理暂行办法》要求，组织申报国家级绿色制造名单，推荐申报绿色工厂79家，绿色工业园区5家，绿色供应链管理企业12家。</w:t>
            </w:r>
          </w:p>
        </w:tc>
      </w:tr>
      <w:tr w14:paraId="3CBD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75F3EBC2">
            <w:pPr>
              <w:widowControl/>
              <w:jc w:val="center"/>
              <w:rPr>
                <w:rFonts w:ascii="宋体" w:hAnsi="宋体" w:cs="宋体"/>
                <w:kern w:val="0"/>
                <w:sz w:val="24"/>
              </w:rPr>
            </w:pPr>
          </w:p>
        </w:tc>
        <w:tc>
          <w:tcPr>
            <w:tcW w:w="3818" w:type="dxa"/>
            <w:vAlign w:val="center"/>
          </w:tcPr>
          <w:p w14:paraId="43539F0E">
            <w:pPr>
              <w:widowControl/>
              <w:jc w:val="center"/>
              <w:rPr>
                <w:rFonts w:ascii="宋体" w:hAnsi="宋体" w:cs="宋体"/>
                <w:sz w:val="24"/>
              </w:rPr>
            </w:pPr>
            <w:r>
              <w:rPr>
                <w:rFonts w:hint="eastAsia" w:ascii="宋体" w:hAnsi="宋体" w:cs="宋体"/>
                <w:sz w:val="24"/>
              </w:rPr>
              <w:t>分解下达各市、区2024年度能耗强度下降目标。</w:t>
            </w:r>
          </w:p>
        </w:tc>
        <w:tc>
          <w:tcPr>
            <w:tcW w:w="6280" w:type="dxa"/>
            <w:vAlign w:val="center"/>
          </w:tcPr>
          <w:p w14:paraId="26A15314">
            <w:pPr>
              <w:widowControl/>
              <w:jc w:val="center"/>
              <w:rPr>
                <w:rFonts w:ascii="宋体" w:hAnsi="宋体" w:cs="宋体"/>
                <w:sz w:val="24"/>
              </w:rPr>
            </w:pPr>
            <w:r>
              <w:rPr>
                <w:rFonts w:hint="eastAsia" w:ascii="宋体" w:hAnsi="宋体" w:cs="宋体"/>
                <w:sz w:val="24"/>
              </w:rPr>
              <w:t>发布《关于分解下达2024年度全市单位地区生产总值（化石）能耗降低率目标的通知》，压实各地节能降碳主体责任。</w:t>
            </w:r>
          </w:p>
        </w:tc>
      </w:tr>
      <w:tr w14:paraId="2AE86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40435ED9">
            <w:pPr>
              <w:widowControl/>
              <w:jc w:val="center"/>
              <w:rPr>
                <w:rFonts w:ascii="宋体" w:hAnsi="宋体" w:cs="宋体"/>
                <w:kern w:val="0"/>
                <w:sz w:val="24"/>
              </w:rPr>
            </w:pPr>
          </w:p>
        </w:tc>
        <w:tc>
          <w:tcPr>
            <w:tcW w:w="3818" w:type="dxa"/>
            <w:vAlign w:val="center"/>
          </w:tcPr>
          <w:p w14:paraId="51CCA40D">
            <w:pPr>
              <w:widowControl/>
              <w:jc w:val="center"/>
              <w:rPr>
                <w:rFonts w:ascii="宋体" w:hAnsi="宋体" w:cs="宋体"/>
                <w:sz w:val="24"/>
              </w:rPr>
            </w:pPr>
            <w:r>
              <w:rPr>
                <w:rFonts w:hint="eastAsia" w:ascii="宋体" w:hAnsi="宋体" w:cs="宋体"/>
                <w:sz w:val="24"/>
              </w:rPr>
              <w:t>开展节能评审。</w:t>
            </w:r>
          </w:p>
        </w:tc>
        <w:tc>
          <w:tcPr>
            <w:tcW w:w="6280" w:type="dxa"/>
            <w:vAlign w:val="center"/>
          </w:tcPr>
          <w:p w14:paraId="506EA89D">
            <w:pPr>
              <w:widowControl/>
              <w:jc w:val="center"/>
              <w:rPr>
                <w:rFonts w:ascii="宋体" w:hAnsi="宋体" w:cs="宋体"/>
                <w:sz w:val="24"/>
              </w:rPr>
            </w:pPr>
            <w:r>
              <w:rPr>
                <w:rFonts w:hint="eastAsia" w:ascii="宋体" w:hAnsi="宋体" w:cs="宋体"/>
                <w:sz w:val="24"/>
              </w:rPr>
              <w:t>2024年受理节能评审申请1份，经第三方评审后，出具节能审查意见1份，节能审查意见出具率100%。</w:t>
            </w:r>
          </w:p>
        </w:tc>
      </w:tr>
      <w:tr w14:paraId="0FABF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Align w:val="center"/>
          </w:tcPr>
          <w:p w14:paraId="254B464A">
            <w:pPr>
              <w:widowControl/>
              <w:jc w:val="center"/>
              <w:rPr>
                <w:rFonts w:ascii="宋体" w:hAnsi="宋体" w:cs="宋体"/>
                <w:kern w:val="0"/>
                <w:sz w:val="24"/>
              </w:rPr>
            </w:pPr>
            <w:r>
              <w:rPr>
                <w:rFonts w:hint="eastAsia" w:ascii="宋体" w:hAnsi="宋体" w:cs="宋体"/>
                <w:sz w:val="24"/>
              </w:rPr>
              <w:t>组织拟订全市国防科技工业规划。协助省国防科技工业办公室做好军工能力调整、资产重组、军品科研及生产、固定资产投资管理、武器装备科研生产许可、保密认证以及军工统计等工作。负责民用爆破器材生产和流通的行业管理，负责军民两用技术双向转移等相关工作，负责全市船舶行业管理。</w:t>
            </w:r>
          </w:p>
        </w:tc>
        <w:tc>
          <w:tcPr>
            <w:tcW w:w="3818" w:type="dxa"/>
            <w:vAlign w:val="center"/>
          </w:tcPr>
          <w:p w14:paraId="04A0C498">
            <w:pPr>
              <w:widowControl/>
              <w:jc w:val="center"/>
              <w:rPr>
                <w:rFonts w:ascii="宋体" w:hAnsi="宋体" w:cs="宋体"/>
                <w:sz w:val="24"/>
              </w:rPr>
            </w:pPr>
            <w:r>
              <w:rPr>
                <w:rFonts w:hint="eastAsia" w:ascii="宋体" w:hAnsi="宋体" w:cs="宋体"/>
                <w:sz w:val="24"/>
              </w:rPr>
              <w:t>民爆船舶安全生产专业委员会工作</w:t>
            </w:r>
          </w:p>
        </w:tc>
        <w:tc>
          <w:tcPr>
            <w:tcW w:w="6280" w:type="dxa"/>
            <w:vAlign w:val="center"/>
          </w:tcPr>
          <w:p w14:paraId="44F274AB">
            <w:pPr>
              <w:widowControl/>
              <w:jc w:val="center"/>
              <w:rPr>
                <w:rFonts w:ascii="宋体" w:hAnsi="宋体" w:cs="宋体"/>
                <w:sz w:val="24"/>
              </w:rPr>
            </w:pPr>
            <w:r>
              <w:rPr>
                <w:rFonts w:hint="eastAsia" w:ascii="宋体" w:hAnsi="宋体" w:cs="宋体"/>
                <w:sz w:val="24"/>
              </w:rPr>
              <w:t>按照市委、市政府决策部署，统筹推进全市船舶修造行业安全生产“六化”工作，印发《苏州市船舶修造行业安全生产治本攻坚三年行动（2024-2026年）实施方案》，制定《船舶修造行业安全生产负面清单》、《“六化”推进工作任务清单》《重大安全生产事故隐患判定标准清单》3张工作清单。全力防范化解行业内重大安全风险隐患，印发《2024年苏州市船舶修造行业安全生产大检查工作方案》，要求各地按照“全覆盖、零容忍、严查处、重实效”的原则，逐级督促落实部门管理责任，对船舶修造企业进行全面拉网式动态循环反复排查。通过“大检查”，苏州市级层面共督导船舶修造企业33家次，发现一般隐患104项，年底前已全部完成整改。</w:t>
            </w:r>
          </w:p>
        </w:tc>
      </w:tr>
    </w:tbl>
    <w:p w14:paraId="023B53CC">
      <w:pPr>
        <w:spacing w:line="360" w:lineRule="auto"/>
        <w:ind w:left="600"/>
        <w:rPr>
          <w:rFonts w:ascii="黑体" w:hAnsi="黑体" w:eastAsia="黑体"/>
          <w:sz w:val="30"/>
        </w:rPr>
      </w:pPr>
    </w:p>
    <w:p w14:paraId="52C68F1C">
      <w:pPr>
        <w:spacing w:line="360" w:lineRule="auto"/>
        <w:ind w:left="600"/>
        <w:rPr>
          <w:rFonts w:ascii="黑体" w:hAnsi="黑体" w:eastAsia="黑体"/>
          <w:sz w:val="30"/>
        </w:rPr>
      </w:pPr>
    </w:p>
    <w:p w14:paraId="6440E8EF">
      <w:pPr>
        <w:numPr>
          <w:ilvl w:val="0"/>
          <w:numId w:val="3"/>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6"/>
        <w:gridCol w:w="1680"/>
        <w:gridCol w:w="2025"/>
        <w:gridCol w:w="1500"/>
        <w:gridCol w:w="1470"/>
        <w:gridCol w:w="1815"/>
        <w:gridCol w:w="1185"/>
        <w:gridCol w:w="3248"/>
      </w:tblGrid>
      <w:tr w14:paraId="23A13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766" w:type="dxa"/>
            <w:shd w:val="clear" w:color="000000" w:fill="BFBFBF"/>
            <w:vAlign w:val="center"/>
          </w:tcPr>
          <w:p w14:paraId="72651F72">
            <w:pPr>
              <w:widowControl/>
              <w:jc w:val="center"/>
              <w:rPr>
                <w:rFonts w:ascii="宋体" w:hAnsi="宋体" w:cs="宋体"/>
                <w:b/>
                <w:bCs/>
                <w:kern w:val="0"/>
                <w:sz w:val="24"/>
              </w:rPr>
            </w:pPr>
          </w:p>
        </w:tc>
        <w:tc>
          <w:tcPr>
            <w:tcW w:w="1680" w:type="dxa"/>
            <w:shd w:val="clear" w:color="000000" w:fill="BFBFBF"/>
            <w:vAlign w:val="center"/>
          </w:tcPr>
          <w:p w14:paraId="34FF8B42">
            <w:pPr>
              <w:widowControl/>
              <w:jc w:val="center"/>
              <w:rPr>
                <w:rFonts w:ascii="宋体" w:hAnsi="宋体" w:cs="宋体"/>
                <w:b/>
                <w:bCs/>
                <w:kern w:val="0"/>
                <w:sz w:val="24"/>
              </w:rPr>
            </w:pPr>
            <w:r>
              <w:rPr>
                <w:rFonts w:hint="eastAsia" w:ascii="宋体" w:hAnsi="宋体" w:cs="宋体"/>
                <w:b/>
                <w:bCs/>
                <w:sz w:val="24"/>
              </w:rPr>
              <w:t>类别</w:t>
            </w:r>
          </w:p>
        </w:tc>
        <w:tc>
          <w:tcPr>
            <w:tcW w:w="2025" w:type="dxa"/>
            <w:shd w:val="clear" w:color="000000" w:fill="BFBFBF"/>
            <w:vAlign w:val="center"/>
          </w:tcPr>
          <w:p w14:paraId="17A7F8E9">
            <w:pPr>
              <w:widowControl/>
              <w:jc w:val="center"/>
              <w:rPr>
                <w:rFonts w:ascii="宋体" w:hAnsi="宋体" w:cs="宋体"/>
                <w:b/>
                <w:bCs/>
                <w:kern w:val="0"/>
                <w:sz w:val="24"/>
              </w:rPr>
            </w:pPr>
            <w:r>
              <w:rPr>
                <w:rFonts w:hint="eastAsia" w:ascii="宋体" w:hAnsi="宋体" w:cs="宋体"/>
                <w:b/>
                <w:bCs/>
                <w:sz w:val="24"/>
              </w:rPr>
              <w:t>指标名称</w:t>
            </w:r>
          </w:p>
        </w:tc>
        <w:tc>
          <w:tcPr>
            <w:tcW w:w="1500" w:type="dxa"/>
            <w:shd w:val="clear" w:color="000000" w:fill="BFBFBF"/>
            <w:vAlign w:val="center"/>
          </w:tcPr>
          <w:p w14:paraId="7095F50E">
            <w:pPr>
              <w:widowControl/>
              <w:jc w:val="center"/>
              <w:rPr>
                <w:rFonts w:ascii="宋体" w:hAnsi="宋体" w:cs="宋体"/>
                <w:b/>
                <w:bCs/>
                <w:kern w:val="0"/>
                <w:sz w:val="24"/>
              </w:rPr>
            </w:pPr>
            <w:r>
              <w:rPr>
                <w:rFonts w:hint="eastAsia" w:ascii="宋体" w:hAnsi="宋体" w:cs="宋体"/>
                <w:b/>
                <w:bCs/>
                <w:sz w:val="24"/>
              </w:rPr>
              <w:t>指标目标值</w:t>
            </w:r>
          </w:p>
        </w:tc>
        <w:tc>
          <w:tcPr>
            <w:tcW w:w="1470" w:type="dxa"/>
            <w:shd w:val="clear" w:color="000000" w:fill="BFBFBF"/>
            <w:vAlign w:val="center"/>
          </w:tcPr>
          <w:p w14:paraId="4259695B">
            <w:pPr>
              <w:widowControl/>
              <w:jc w:val="center"/>
              <w:rPr>
                <w:rFonts w:ascii="宋体" w:hAnsi="宋体" w:cs="宋体"/>
                <w:b/>
                <w:bCs/>
                <w:kern w:val="0"/>
                <w:sz w:val="24"/>
              </w:rPr>
            </w:pPr>
            <w:r>
              <w:rPr>
                <w:rFonts w:hint="eastAsia" w:ascii="宋体" w:hAnsi="宋体" w:cs="宋体"/>
                <w:b/>
                <w:bCs/>
                <w:sz w:val="24"/>
              </w:rPr>
              <w:t>指标完成值</w:t>
            </w:r>
          </w:p>
        </w:tc>
        <w:tc>
          <w:tcPr>
            <w:tcW w:w="1815" w:type="dxa"/>
            <w:shd w:val="clear" w:color="000000" w:fill="BFBFBF"/>
            <w:vAlign w:val="center"/>
          </w:tcPr>
          <w:p w14:paraId="249B5433">
            <w:pPr>
              <w:widowControl/>
              <w:jc w:val="center"/>
              <w:rPr>
                <w:rFonts w:ascii="宋体" w:hAnsi="宋体" w:cs="宋体"/>
                <w:b/>
                <w:bCs/>
                <w:kern w:val="0"/>
                <w:sz w:val="24"/>
              </w:rPr>
            </w:pPr>
            <w:r>
              <w:rPr>
                <w:rFonts w:hint="eastAsia" w:ascii="宋体" w:hAnsi="宋体" w:cs="宋体"/>
                <w:b/>
                <w:bCs/>
                <w:sz w:val="24"/>
              </w:rPr>
              <w:t>完成值来源</w:t>
            </w:r>
          </w:p>
        </w:tc>
        <w:tc>
          <w:tcPr>
            <w:tcW w:w="1185" w:type="dxa"/>
            <w:shd w:val="clear" w:color="000000" w:fill="BFBFBF"/>
            <w:vAlign w:val="center"/>
          </w:tcPr>
          <w:p w14:paraId="7D590876">
            <w:pPr>
              <w:widowControl/>
              <w:jc w:val="center"/>
              <w:rPr>
                <w:rFonts w:ascii="宋体" w:hAnsi="宋体" w:cs="宋体"/>
                <w:b/>
                <w:bCs/>
                <w:sz w:val="24"/>
              </w:rPr>
            </w:pPr>
            <w:r>
              <w:rPr>
                <w:rFonts w:hint="eastAsia" w:ascii="宋体" w:hAnsi="宋体" w:cs="宋体"/>
                <w:b/>
                <w:bCs/>
                <w:sz w:val="24"/>
              </w:rPr>
              <w:t>偏差情况</w:t>
            </w:r>
          </w:p>
        </w:tc>
        <w:tc>
          <w:tcPr>
            <w:tcW w:w="3248" w:type="dxa"/>
            <w:shd w:val="clear" w:color="000000" w:fill="BFBFBF"/>
          </w:tcPr>
          <w:p w14:paraId="701AF1C5">
            <w:pPr>
              <w:widowControl/>
              <w:jc w:val="center"/>
              <w:rPr>
                <w:rFonts w:ascii="黑体" w:hAnsi="黑体" w:eastAsia="黑体"/>
                <w:sz w:val="30"/>
              </w:rPr>
            </w:pPr>
            <w:r>
              <w:rPr>
                <w:rFonts w:hint="eastAsia" w:ascii="宋体" w:hAnsi="宋体" w:cs="宋体"/>
                <w:b/>
                <w:bCs/>
                <w:sz w:val="24"/>
              </w:rPr>
              <w:t>原因分析</w:t>
            </w:r>
          </w:p>
        </w:tc>
      </w:tr>
      <w:tr w14:paraId="20A61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restart"/>
            <w:vAlign w:val="center"/>
          </w:tcPr>
          <w:p w14:paraId="5752877D">
            <w:pPr>
              <w:spacing w:line="360" w:lineRule="auto"/>
              <w:jc w:val="center"/>
              <w:rPr>
                <w:rFonts w:ascii="宋体" w:hAnsi="宋体" w:cs="宋体"/>
                <w:kern w:val="0"/>
                <w:sz w:val="24"/>
              </w:rPr>
            </w:pPr>
            <w:r>
              <w:rPr>
                <w:rFonts w:hint="eastAsia" w:ascii="宋体" w:hAnsi="宋体" w:cs="宋体"/>
                <w:sz w:val="24"/>
              </w:rPr>
              <w:t>分解目标</w:t>
            </w:r>
          </w:p>
        </w:tc>
        <w:tc>
          <w:tcPr>
            <w:tcW w:w="1680" w:type="dxa"/>
            <w:vMerge w:val="restart"/>
            <w:vAlign w:val="center"/>
          </w:tcPr>
          <w:p w14:paraId="38854F77">
            <w:pPr>
              <w:spacing w:line="360" w:lineRule="auto"/>
              <w:jc w:val="center"/>
              <w:rPr>
                <w:rFonts w:ascii="宋体" w:hAnsi="宋体" w:cs="宋体"/>
                <w:kern w:val="0"/>
                <w:sz w:val="24"/>
              </w:rPr>
            </w:pPr>
            <w:r>
              <w:rPr>
                <w:rFonts w:hint="eastAsia" w:ascii="宋体" w:hAnsi="宋体" w:cs="宋体"/>
                <w:sz w:val="24"/>
              </w:rPr>
              <w:t>决策</w:t>
            </w:r>
          </w:p>
        </w:tc>
        <w:tc>
          <w:tcPr>
            <w:tcW w:w="2025" w:type="dxa"/>
            <w:vAlign w:val="center"/>
          </w:tcPr>
          <w:p w14:paraId="09E16453">
            <w:pPr>
              <w:spacing w:line="360" w:lineRule="auto"/>
              <w:jc w:val="center"/>
              <w:rPr>
                <w:rFonts w:ascii="宋体" w:hAnsi="宋体" w:cs="宋体"/>
                <w:kern w:val="0"/>
                <w:sz w:val="24"/>
              </w:rPr>
            </w:pPr>
            <w:r>
              <w:rPr>
                <w:rFonts w:hint="eastAsia" w:ascii="宋体" w:hAnsi="宋体" w:cs="宋体"/>
                <w:sz w:val="24"/>
              </w:rPr>
              <w:t>工作计划制定健全性</w:t>
            </w:r>
          </w:p>
        </w:tc>
        <w:tc>
          <w:tcPr>
            <w:tcW w:w="1500" w:type="dxa"/>
            <w:vAlign w:val="center"/>
          </w:tcPr>
          <w:p w14:paraId="6CFB7B84">
            <w:pPr>
              <w:spacing w:line="360" w:lineRule="auto"/>
              <w:jc w:val="center"/>
              <w:rPr>
                <w:rFonts w:ascii="宋体" w:hAnsi="宋体" w:cs="宋体"/>
                <w:kern w:val="0"/>
                <w:sz w:val="24"/>
              </w:rPr>
            </w:pPr>
            <w:r>
              <w:rPr>
                <w:rFonts w:hint="eastAsia" w:ascii="宋体" w:hAnsi="宋体" w:cs="宋体"/>
                <w:sz w:val="24"/>
              </w:rPr>
              <w:t>健全</w:t>
            </w:r>
          </w:p>
        </w:tc>
        <w:tc>
          <w:tcPr>
            <w:tcW w:w="1470" w:type="dxa"/>
            <w:vAlign w:val="center"/>
          </w:tcPr>
          <w:p w14:paraId="16D1A34C">
            <w:pPr>
              <w:spacing w:line="360" w:lineRule="auto"/>
              <w:jc w:val="center"/>
              <w:rPr>
                <w:rFonts w:ascii="宋体" w:hAnsi="宋体" w:cs="宋体"/>
                <w:kern w:val="0"/>
                <w:sz w:val="24"/>
              </w:rPr>
            </w:pPr>
            <w:r>
              <w:rPr>
                <w:rFonts w:hint="eastAsia" w:ascii="宋体" w:hAnsi="宋体" w:cs="宋体"/>
                <w:sz w:val="24"/>
              </w:rPr>
              <w:t>健全</w:t>
            </w:r>
          </w:p>
        </w:tc>
        <w:tc>
          <w:tcPr>
            <w:tcW w:w="1815" w:type="dxa"/>
            <w:vAlign w:val="center"/>
          </w:tcPr>
          <w:p w14:paraId="7E9ECCE7">
            <w:pPr>
              <w:spacing w:line="360" w:lineRule="auto"/>
              <w:jc w:val="center"/>
              <w:rPr>
                <w:rFonts w:ascii="宋体" w:hAnsi="宋体" w:cs="宋体"/>
                <w:kern w:val="0"/>
                <w:sz w:val="24"/>
              </w:rPr>
            </w:pPr>
            <w:r>
              <w:rPr>
                <w:rFonts w:hint="eastAsia" w:ascii="宋体" w:hAnsi="宋体" w:cs="宋体"/>
                <w:sz w:val="24"/>
              </w:rPr>
              <w:t>相关工作台账</w:t>
            </w:r>
          </w:p>
        </w:tc>
        <w:tc>
          <w:tcPr>
            <w:tcW w:w="1185" w:type="dxa"/>
            <w:vAlign w:val="center"/>
          </w:tcPr>
          <w:p w14:paraId="52F4105D">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30411BD7">
            <w:pPr>
              <w:spacing w:line="360" w:lineRule="auto"/>
              <w:rPr>
                <w:rFonts w:ascii="宋体" w:hAnsi="宋体" w:cs="宋体"/>
                <w:kern w:val="0"/>
                <w:sz w:val="22"/>
              </w:rPr>
            </w:pPr>
          </w:p>
        </w:tc>
      </w:tr>
      <w:tr w14:paraId="27DCE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0D9239BC">
            <w:pPr>
              <w:spacing w:line="360" w:lineRule="auto"/>
              <w:jc w:val="center"/>
              <w:rPr>
                <w:rFonts w:ascii="宋体" w:hAnsi="宋体" w:cs="宋体"/>
                <w:kern w:val="0"/>
                <w:sz w:val="24"/>
              </w:rPr>
            </w:pPr>
          </w:p>
        </w:tc>
        <w:tc>
          <w:tcPr>
            <w:tcW w:w="1680" w:type="dxa"/>
            <w:vMerge w:val="continue"/>
            <w:vAlign w:val="center"/>
          </w:tcPr>
          <w:p w14:paraId="7CDA563B">
            <w:pPr>
              <w:spacing w:line="360" w:lineRule="auto"/>
              <w:jc w:val="center"/>
              <w:rPr>
                <w:rFonts w:ascii="宋体" w:hAnsi="宋体" w:cs="宋体"/>
                <w:kern w:val="0"/>
                <w:sz w:val="24"/>
              </w:rPr>
            </w:pPr>
          </w:p>
        </w:tc>
        <w:tc>
          <w:tcPr>
            <w:tcW w:w="2025" w:type="dxa"/>
            <w:vAlign w:val="center"/>
          </w:tcPr>
          <w:p w14:paraId="2C0FE239">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500" w:type="dxa"/>
            <w:vAlign w:val="center"/>
          </w:tcPr>
          <w:p w14:paraId="0AA88677">
            <w:pPr>
              <w:spacing w:line="360" w:lineRule="auto"/>
              <w:jc w:val="center"/>
              <w:rPr>
                <w:rFonts w:ascii="宋体" w:hAnsi="宋体" w:cs="宋体"/>
                <w:kern w:val="0"/>
                <w:sz w:val="24"/>
              </w:rPr>
            </w:pPr>
            <w:r>
              <w:rPr>
                <w:rFonts w:hint="eastAsia" w:ascii="宋体" w:hAnsi="宋体" w:cs="宋体"/>
                <w:sz w:val="24"/>
              </w:rPr>
              <w:t>健全</w:t>
            </w:r>
          </w:p>
        </w:tc>
        <w:tc>
          <w:tcPr>
            <w:tcW w:w="1470" w:type="dxa"/>
            <w:vAlign w:val="center"/>
          </w:tcPr>
          <w:p w14:paraId="7E4A829B">
            <w:pPr>
              <w:spacing w:line="360" w:lineRule="auto"/>
              <w:jc w:val="center"/>
              <w:rPr>
                <w:rFonts w:ascii="宋体" w:hAnsi="宋体" w:cs="宋体"/>
                <w:kern w:val="0"/>
                <w:sz w:val="24"/>
              </w:rPr>
            </w:pPr>
            <w:r>
              <w:rPr>
                <w:rFonts w:hint="eastAsia" w:ascii="宋体" w:hAnsi="宋体" w:cs="宋体"/>
                <w:sz w:val="24"/>
              </w:rPr>
              <w:t>健全</w:t>
            </w:r>
          </w:p>
        </w:tc>
        <w:tc>
          <w:tcPr>
            <w:tcW w:w="1815" w:type="dxa"/>
            <w:vAlign w:val="center"/>
          </w:tcPr>
          <w:p w14:paraId="753A0240">
            <w:pPr>
              <w:spacing w:line="360" w:lineRule="auto"/>
              <w:jc w:val="center"/>
              <w:rPr>
                <w:rFonts w:ascii="宋体" w:hAnsi="宋体" w:cs="宋体"/>
                <w:kern w:val="0"/>
                <w:sz w:val="24"/>
              </w:rPr>
            </w:pPr>
            <w:r>
              <w:rPr>
                <w:rFonts w:hint="eastAsia" w:ascii="宋体" w:hAnsi="宋体" w:cs="宋体"/>
                <w:sz w:val="24"/>
              </w:rPr>
              <w:t>相关工作台账</w:t>
            </w:r>
          </w:p>
        </w:tc>
        <w:tc>
          <w:tcPr>
            <w:tcW w:w="1185" w:type="dxa"/>
            <w:vAlign w:val="center"/>
          </w:tcPr>
          <w:p w14:paraId="3508B932">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77877990">
            <w:pPr>
              <w:spacing w:line="360" w:lineRule="auto"/>
              <w:rPr>
                <w:rFonts w:ascii="宋体" w:hAnsi="宋体" w:cs="宋体"/>
                <w:kern w:val="0"/>
                <w:sz w:val="22"/>
              </w:rPr>
            </w:pPr>
          </w:p>
        </w:tc>
      </w:tr>
      <w:tr w14:paraId="6A1E8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35FADF1C">
            <w:pPr>
              <w:spacing w:line="360" w:lineRule="auto"/>
              <w:jc w:val="center"/>
              <w:rPr>
                <w:rFonts w:ascii="宋体" w:hAnsi="宋体" w:cs="宋体"/>
                <w:kern w:val="0"/>
                <w:sz w:val="24"/>
              </w:rPr>
            </w:pPr>
          </w:p>
        </w:tc>
        <w:tc>
          <w:tcPr>
            <w:tcW w:w="1680" w:type="dxa"/>
            <w:vMerge w:val="continue"/>
            <w:vAlign w:val="center"/>
          </w:tcPr>
          <w:p w14:paraId="41DF525C">
            <w:pPr>
              <w:spacing w:line="360" w:lineRule="auto"/>
              <w:jc w:val="center"/>
              <w:rPr>
                <w:rFonts w:ascii="宋体" w:hAnsi="宋体" w:cs="宋体"/>
                <w:kern w:val="0"/>
                <w:sz w:val="24"/>
              </w:rPr>
            </w:pPr>
          </w:p>
        </w:tc>
        <w:tc>
          <w:tcPr>
            <w:tcW w:w="2025" w:type="dxa"/>
            <w:vAlign w:val="center"/>
          </w:tcPr>
          <w:p w14:paraId="7CA4039A">
            <w:pPr>
              <w:spacing w:line="360" w:lineRule="auto"/>
              <w:jc w:val="center"/>
              <w:rPr>
                <w:rFonts w:ascii="宋体" w:hAnsi="宋体" w:cs="宋体"/>
                <w:kern w:val="0"/>
                <w:sz w:val="24"/>
              </w:rPr>
            </w:pPr>
            <w:r>
              <w:rPr>
                <w:rFonts w:hint="eastAsia" w:ascii="宋体" w:hAnsi="宋体" w:cs="宋体"/>
                <w:sz w:val="24"/>
              </w:rPr>
              <w:t>绩效目标合理性</w:t>
            </w:r>
          </w:p>
        </w:tc>
        <w:tc>
          <w:tcPr>
            <w:tcW w:w="1500" w:type="dxa"/>
            <w:vAlign w:val="center"/>
          </w:tcPr>
          <w:p w14:paraId="0DA46F20">
            <w:pPr>
              <w:spacing w:line="360" w:lineRule="auto"/>
              <w:jc w:val="center"/>
              <w:rPr>
                <w:rFonts w:ascii="宋体" w:hAnsi="宋体" w:cs="宋体"/>
                <w:kern w:val="0"/>
                <w:sz w:val="24"/>
              </w:rPr>
            </w:pPr>
            <w:r>
              <w:rPr>
                <w:rFonts w:hint="eastAsia" w:ascii="宋体" w:hAnsi="宋体" w:cs="宋体"/>
                <w:sz w:val="24"/>
              </w:rPr>
              <w:t>合理</w:t>
            </w:r>
          </w:p>
        </w:tc>
        <w:tc>
          <w:tcPr>
            <w:tcW w:w="1470" w:type="dxa"/>
            <w:vAlign w:val="center"/>
          </w:tcPr>
          <w:p w14:paraId="3A41AED8">
            <w:pPr>
              <w:spacing w:line="360" w:lineRule="auto"/>
              <w:jc w:val="center"/>
              <w:rPr>
                <w:rFonts w:ascii="宋体" w:hAnsi="宋体" w:cs="宋体"/>
                <w:kern w:val="0"/>
                <w:sz w:val="24"/>
              </w:rPr>
            </w:pPr>
            <w:r>
              <w:rPr>
                <w:rFonts w:hint="eastAsia" w:ascii="宋体" w:hAnsi="宋体" w:cs="宋体"/>
                <w:sz w:val="24"/>
              </w:rPr>
              <w:t>合理</w:t>
            </w:r>
          </w:p>
        </w:tc>
        <w:tc>
          <w:tcPr>
            <w:tcW w:w="1815" w:type="dxa"/>
            <w:vAlign w:val="center"/>
          </w:tcPr>
          <w:p w14:paraId="2DDCD4BB">
            <w:pPr>
              <w:spacing w:line="360" w:lineRule="auto"/>
              <w:jc w:val="center"/>
              <w:rPr>
                <w:rFonts w:ascii="宋体" w:hAnsi="宋体" w:cs="宋体"/>
                <w:kern w:val="0"/>
                <w:sz w:val="24"/>
              </w:rPr>
            </w:pPr>
            <w:r>
              <w:rPr>
                <w:rFonts w:hint="eastAsia" w:ascii="宋体" w:hAnsi="宋体" w:cs="宋体"/>
                <w:sz w:val="24"/>
              </w:rPr>
              <w:t>绩效目标申报材料</w:t>
            </w:r>
          </w:p>
        </w:tc>
        <w:tc>
          <w:tcPr>
            <w:tcW w:w="1185" w:type="dxa"/>
            <w:vAlign w:val="center"/>
          </w:tcPr>
          <w:p w14:paraId="7910B157">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4B92CC2B">
            <w:pPr>
              <w:spacing w:line="360" w:lineRule="auto"/>
              <w:rPr>
                <w:rFonts w:ascii="宋体" w:hAnsi="宋体" w:cs="宋体"/>
                <w:kern w:val="0"/>
                <w:sz w:val="22"/>
              </w:rPr>
            </w:pPr>
          </w:p>
        </w:tc>
      </w:tr>
      <w:tr w14:paraId="6192D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7E0CE7A4">
            <w:pPr>
              <w:spacing w:line="360" w:lineRule="auto"/>
              <w:jc w:val="center"/>
              <w:rPr>
                <w:rFonts w:ascii="宋体" w:hAnsi="宋体" w:cs="宋体"/>
                <w:kern w:val="0"/>
                <w:sz w:val="24"/>
              </w:rPr>
            </w:pPr>
          </w:p>
        </w:tc>
        <w:tc>
          <w:tcPr>
            <w:tcW w:w="1680" w:type="dxa"/>
            <w:vMerge w:val="continue"/>
            <w:vAlign w:val="center"/>
          </w:tcPr>
          <w:p w14:paraId="156B281D">
            <w:pPr>
              <w:spacing w:line="360" w:lineRule="auto"/>
              <w:jc w:val="center"/>
              <w:rPr>
                <w:rFonts w:ascii="宋体" w:hAnsi="宋体" w:cs="宋体"/>
                <w:kern w:val="0"/>
                <w:sz w:val="24"/>
              </w:rPr>
            </w:pPr>
          </w:p>
        </w:tc>
        <w:tc>
          <w:tcPr>
            <w:tcW w:w="2025" w:type="dxa"/>
            <w:vAlign w:val="center"/>
          </w:tcPr>
          <w:p w14:paraId="7496749E">
            <w:pPr>
              <w:spacing w:line="360" w:lineRule="auto"/>
              <w:jc w:val="center"/>
              <w:rPr>
                <w:rFonts w:ascii="宋体" w:hAnsi="宋体" w:cs="宋体"/>
                <w:kern w:val="0"/>
                <w:sz w:val="24"/>
              </w:rPr>
            </w:pPr>
            <w:r>
              <w:rPr>
                <w:rFonts w:hint="eastAsia" w:ascii="宋体" w:hAnsi="宋体" w:cs="宋体"/>
                <w:sz w:val="24"/>
              </w:rPr>
              <w:t>绩效指标明确性</w:t>
            </w:r>
          </w:p>
        </w:tc>
        <w:tc>
          <w:tcPr>
            <w:tcW w:w="1500" w:type="dxa"/>
            <w:vAlign w:val="center"/>
          </w:tcPr>
          <w:p w14:paraId="0F4ED682">
            <w:pPr>
              <w:spacing w:line="360" w:lineRule="auto"/>
              <w:jc w:val="center"/>
              <w:rPr>
                <w:rFonts w:ascii="宋体" w:hAnsi="宋体" w:cs="宋体"/>
                <w:kern w:val="0"/>
                <w:sz w:val="24"/>
              </w:rPr>
            </w:pPr>
            <w:r>
              <w:rPr>
                <w:rFonts w:hint="eastAsia" w:ascii="宋体" w:hAnsi="宋体" w:cs="宋体"/>
                <w:sz w:val="24"/>
              </w:rPr>
              <w:t>明确</w:t>
            </w:r>
          </w:p>
        </w:tc>
        <w:tc>
          <w:tcPr>
            <w:tcW w:w="1470" w:type="dxa"/>
            <w:vAlign w:val="center"/>
          </w:tcPr>
          <w:p w14:paraId="7874B2D3">
            <w:pPr>
              <w:spacing w:line="360" w:lineRule="auto"/>
              <w:jc w:val="center"/>
              <w:rPr>
                <w:rFonts w:ascii="宋体" w:hAnsi="宋体" w:cs="宋体"/>
                <w:kern w:val="0"/>
                <w:sz w:val="24"/>
              </w:rPr>
            </w:pPr>
            <w:r>
              <w:rPr>
                <w:rFonts w:hint="eastAsia" w:ascii="宋体" w:hAnsi="宋体" w:cs="宋体"/>
                <w:sz w:val="24"/>
              </w:rPr>
              <w:t>明确</w:t>
            </w:r>
          </w:p>
        </w:tc>
        <w:tc>
          <w:tcPr>
            <w:tcW w:w="1815" w:type="dxa"/>
            <w:vAlign w:val="center"/>
          </w:tcPr>
          <w:p w14:paraId="05B84C29">
            <w:pPr>
              <w:spacing w:line="360" w:lineRule="auto"/>
              <w:jc w:val="center"/>
              <w:rPr>
                <w:rFonts w:ascii="宋体" w:hAnsi="宋体" w:cs="宋体"/>
                <w:kern w:val="0"/>
                <w:sz w:val="24"/>
              </w:rPr>
            </w:pPr>
            <w:r>
              <w:rPr>
                <w:rFonts w:hint="eastAsia" w:ascii="宋体" w:hAnsi="宋体" w:cs="宋体"/>
                <w:sz w:val="24"/>
              </w:rPr>
              <w:t>绩效目标申报材料</w:t>
            </w:r>
          </w:p>
        </w:tc>
        <w:tc>
          <w:tcPr>
            <w:tcW w:w="1185" w:type="dxa"/>
            <w:vAlign w:val="center"/>
          </w:tcPr>
          <w:p w14:paraId="5453D134">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545DB46F">
            <w:pPr>
              <w:spacing w:line="360" w:lineRule="auto"/>
              <w:rPr>
                <w:rFonts w:ascii="宋体" w:hAnsi="宋体" w:cs="宋体"/>
                <w:kern w:val="0"/>
                <w:sz w:val="22"/>
              </w:rPr>
            </w:pPr>
          </w:p>
        </w:tc>
      </w:tr>
      <w:tr w14:paraId="52ED1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20B9579D">
            <w:pPr>
              <w:spacing w:line="360" w:lineRule="auto"/>
              <w:jc w:val="center"/>
              <w:rPr>
                <w:rFonts w:ascii="宋体" w:hAnsi="宋体" w:cs="宋体"/>
                <w:kern w:val="0"/>
                <w:sz w:val="24"/>
              </w:rPr>
            </w:pPr>
          </w:p>
        </w:tc>
        <w:tc>
          <w:tcPr>
            <w:tcW w:w="1680" w:type="dxa"/>
            <w:vMerge w:val="continue"/>
            <w:vAlign w:val="center"/>
          </w:tcPr>
          <w:p w14:paraId="6DC1B6E7">
            <w:pPr>
              <w:spacing w:line="360" w:lineRule="auto"/>
              <w:jc w:val="center"/>
              <w:rPr>
                <w:rFonts w:ascii="宋体" w:hAnsi="宋体" w:cs="宋体"/>
                <w:kern w:val="0"/>
                <w:sz w:val="24"/>
              </w:rPr>
            </w:pPr>
          </w:p>
        </w:tc>
        <w:tc>
          <w:tcPr>
            <w:tcW w:w="2025" w:type="dxa"/>
            <w:vAlign w:val="center"/>
          </w:tcPr>
          <w:p w14:paraId="427A52C9">
            <w:pPr>
              <w:spacing w:line="360" w:lineRule="auto"/>
              <w:jc w:val="center"/>
              <w:rPr>
                <w:rFonts w:ascii="宋体" w:hAnsi="宋体" w:cs="宋体"/>
                <w:kern w:val="0"/>
                <w:sz w:val="24"/>
              </w:rPr>
            </w:pPr>
            <w:r>
              <w:rPr>
                <w:rFonts w:hint="eastAsia" w:ascii="宋体" w:hAnsi="宋体" w:cs="宋体"/>
                <w:sz w:val="24"/>
              </w:rPr>
              <w:t>预算编制科学性</w:t>
            </w:r>
          </w:p>
        </w:tc>
        <w:tc>
          <w:tcPr>
            <w:tcW w:w="1500" w:type="dxa"/>
            <w:vAlign w:val="center"/>
          </w:tcPr>
          <w:p w14:paraId="4966BED6">
            <w:pPr>
              <w:spacing w:line="360" w:lineRule="auto"/>
              <w:jc w:val="center"/>
              <w:rPr>
                <w:rFonts w:ascii="宋体" w:hAnsi="宋体" w:cs="宋体"/>
                <w:kern w:val="0"/>
                <w:sz w:val="24"/>
              </w:rPr>
            </w:pPr>
            <w:r>
              <w:rPr>
                <w:rFonts w:hint="eastAsia" w:ascii="宋体" w:hAnsi="宋体" w:cs="宋体"/>
                <w:sz w:val="24"/>
              </w:rPr>
              <w:t>科学</w:t>
            </w:r>
          </w:p>
        </w:tc>
        <w:tc>
          <w:tcPr>
            <w:tcW w:w="1470" w:type="dxa"/>
            <w:vAlign w:val="center"/>
          </w:tcPr>
          <w:p w14:paraId="68B28DD2">
            <w:pPr>
              <w:spacing w:line="360" w:lineRule="auto"/>
              <w:jc w:val="center"/>
              <w:rPr>
                <w:rFonts w:ascii="宋体" w:hAnsi="宋体" w:cs="宋体"/>
                <w:kern w:val="0"/>
                <w:sz w:val="24"/>
              </w:rPr>
            </w:pPr>
            <w:r>
              <w:rPr>
                <w:rFonts w:hint="eastAsia" w:ascii="宋体" w:hAnsi="宋体" w:cs="宋体"/>
                <w:sz w:val="24"/>
              </w:rPr>
              <w:t>科学</w:t>
            </w:r>
          </w:p>
        </w:tc>
        <w:tc>
          <w:tcPr>
            <w:tcW w:w="1815" w:type="dxa"/>
            <w:vAlign w:val="center"/>
          </w:tcPr>
          <w:p w14:paraId="620C35E5">
            <w:pPr>
              <w:spacing w:line="360" w:lineRule="auto"/>
              <w:jc w:val="center"/>
              <w:rPr>
                <w:rFonts w:ascii="宋体" w:hAnsi="宋体" w:cs="宋体"/>
                <w:kern w:val="0"/>
                <w:sz w:val="24"/>
              </w:rPr>
            </w:pPr>
            <w:r>
              <w:rPr>
                <w:rFonts w:hint="eastAsia" w:ascii="宋体" w:hAnsi="宋体" w:cs="宋体"/>
                <w:sz w:val="24"/>
              </w:rPr>
              <w:t>预算编制材料</w:t>
            </w:r>
          </w:p>
        </w:tc>
        <w:tc>
          <w:tcPr>
            <w:tcW w:w="1185" w:type="dxa"/>
            <w:vAlign w:val="center"/>
          </w:tcPr>
          <w:p w14:paraId="34FBC089">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0F0E767B">
            <w:pPr>
              <w:spacing w:line="360" w:lineRule="auto"/>
              <w:rPr>
                <w:rFonts w:ascii="宋体" w:hAnsi="宋体" w:cs="宋体"/>
                <w:kern w:val="0"/>
                <w:sz w:val="22"/>
              </w:rPr>
            </w:pPr>
          </w:p>
        </w:tc>
      </w:tr>
      <w:tr w14:paraId="211E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1A865244">
            <w:pPr>
              <w:spacing w:line="360" w:lineRule="auto"/>
              <w:jc w:val="center"/>
              <w:rPr>
                <w:rFonts w:ascii="宋体" w:hAnsi="宋体" w:cs="宋体"/>
                <w:kern w:val="0"/>
                <w:sz w:val="24"/>
              </w:rPr>
            </w:pPr>
          </w:p>
        </w:tc>
        <w:tc>
          <w:tcPr>
            <w:tcW w:w="1680" w:type="dxa"/>
            <w:vMerge w:val="continue"/>
            <w:vAlign w:val="center"/>
          </w:tcPr>
          <w:p w14:paraId="37730423">
            <w:pPr>
              <w:spacing w:line="360" w:lineRule="auto"/>
              <w:jc w:val="center"/>
              <w:rPr>
                <w:rFonts w:ascii="宋体" w:hAnsi="宋体" w:cs="宋体"/>
                <w:kern w:val="0"/>
                <w:sz w:val="24"/>
              </w:rPr>
            </w:pPr>
          </w:p>
        </w:tc>
        <w:tc>
          <w:tcPr>
            <w:tcW w:w="2025" w:type="dxa"/>
            <w:vAlign w:val="center"/>
          </w:tcPr>
          <w:p w14:paraId="38F00C1B">
            <w:pPr>
              <w:spacing w:line="360" w:lineRule="auto"/>
              <w:jc w:val="center"/>
              <w:rPr>
                <w:rFonts w:ascii="宋体" w:hAnsi="宋体" w:cs="宋体"/>
                <w:kern w:val="0"/>
                <w:sz w:val="24"/>
              </w:rPr>
            </w:pPr>
            <w:r>
              <w:rPr>
                <w:rFonts w:hint="eastAsia" w:ascii="宋体" w:hAnsi="宋体" w:cs="宋体"/>
                <w:sz w:val="24"/>
              </w:rPr>
              <w:t>预算编制规范性</w:t>
            </w:r>
          </w:p>
        </w:tc>
        <w:tc>
          <w:tcPr>
            <w:tcW w:w="1500" w:type="dxa"/>
            <w:vAlign w:val="center"/>
          </w:tcPr>
          <w:p w14:paraId="29F98540">
            <w:pPr>
              <w:spacing w:line="360" w:lineRule="auto"/>
              <w:jc w:val="center"/>
              <w:rPr>
                <w:rFonts w:ascii="宋体" w:hAnsi="宋体" w:cs="宋体"/>
                <w:kern w:val="0"/>
                <w:sz w:val="24"/>
              </w:rPr>
            </w:pPr>
            <w:r>
              <w:rPr>
                <w:rFonts w:hint="eastAsia" w:ascii="宋体" w:hAnsi="宋体" w:cs="宋体"/>
                <w:sz w:val="24"/>
              </w:rPr>
              <w:t>规范</w:t>
            </w:r>
          </w:p>
        </w:tc>
        <w:tc>
          <w:tcPr>
            <w:tcW w:w="1470" w:type="dxa"/>
            <w:vAlign w:val="center"/>
          </w:tcPr>
          <w:p w14:paraId="6AB4A744">
            <w:pPr>
              <w:spacing w:line="360" w:lineRule="auto"/>
              <w:jc w:val="center"/>
              <w:rPr>
                <w:rFonts w:ascii="宋体" w:hAnsi="宋体" w:cs="宋体"/>
                <w:kern w:val="0"/>
                <w:sz w:val="24"/>
              </w:rPr>
            </w:pPr>
            <w:r>
              <w:rPr>
                <w:rFonts w:hint="eastAsia" w:ascii="宋体" w:hAnsi="宋体" w:cs="宋体"/>
                <w:sz w:val="24"/>
              </w:rPr>
              <w:t>规范</w:t>
            </w:r>
          </w:p>
        </w:tc>
        <w:tc>
          <w:tcPr>
            <w:tcW w:w="1815" w:type="dxa"/>
            <w:vAlign w:val="center"/>
          </w:tcPr>
          <w:p w14:paraId="02D661E0">
            <w:pPr>
              <w:spacing w:line="360" w:lineRule="auto"/>
              <w:jc w:val="center"/>
              <w:rPr>
                <w:rFonts w:ascii="宋体" w:hAnsi="宋体" w:cs="宋体"/>
                <w:kern w:val="0"/>
                <w:sz w:val="24"/>
              </w:rPr>
            </w:pPr>
            <w:r>
              <w:rPr>
                <w:rFonts w:hint="eastAsia" w:ascii="宋体" w:hAnsi="宋体" w:cs="宋体"/>
                <w:sz w:val="24"/>
              </w:rPr>
              <w:t>预算编制材料</w:t>
            </w:r>
          </w:p>
        </w:tc>
        <w:tc>
          <w:tcPr>
            <w:tcW w:w="1185" w:type="dxa"/>
            <w:vAlign w:val="center"/>
          </w:tcPr>
          <w:p w14:paraId="4AC23EFD">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1C40CD61">
            <w:pPr>
              <w:spacing w:line="360" w:lineRule="auto"/>
              <w:rPr>
                <w:rFonts w:ascii="宋体" w:hAnsi="宋体" w:cs="宋体"/>
                <w:kern w:val="0"/>
                <w:sz w:val="22"/>
              </w:rPr>
            </w:pPr>
          </w:p>
        </w:tc>
      </w:tr>
      <w:tr w14:paraId="3B14A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1137FE44">
            <w:pPr>
              <w:spacing w:line="360" w:lineRule="auto"/>
              <w:jc w:val="center"/>
              <w:rPr>
                <w:rFonts w:ascii="宋体" w:hAnsi="宋体" w:cs="宋体"/>
                <w:kern w:val="0"/>
                <w:sz w:val="24"/>
              </w:rPr>
            </w:pPr>
          </w:p>
        </w:tc>
        <w:tc>
          <w:tcPr>
            <w:tcW w:w="1680" w:type="dxa"/>
            <w:vMerge w:val="restart"/>
            <w:vAlign w:val="center"/>
          </w:tcPr>
          <w:p w14:paraId="6386FC03">
            <w:pPr>
              <w:spacing w:line="360" w:lineRule="auto"/>
              <w:jc w:val="center"/>
              <w:rPr>
                <w:rFonts w:ascii="宋体" w:hAnsi="宋体" w:cs="宋体"/>
                <w:kern w:val="0"/>
                <w:sz w:val="24"/>
              </w:rPr>
            </w:pPr>
            <w:r>
              <w:rPr>
                <w:rFonts w:hint="eastAsia" w:ascii="宋体" w:hAnsi="宋体" w:cs="宋体"/>
                <w:sz w:val="24"/>
              </w:rPr>
              <w:t>过程</w:t>
            </w:r>
          </w:p>
        </w:tc>
        <w:tc>
          <w:tcPr>
            <w:tcW w:w="2025" w:type="dxa"/>
            <w:vAlign w:val="center"/>
          </w:tcPr>
          <w:p w14:paraId="00D99D68">
            <w:pPr>
              <w:spacing w:line="360" w:lineRule="auto"/>
              <w:jc w:val="center"/>
              <w:rPr>
                <w:rFonts w:ascii="宋体" w:hAnsi="宋体" w:cs="宋体"/>
                <w:kern w:val="0"/>
                <w:sz w:val="24"/>
              </w:rPr>
            </w:pPr>
            <w:r>
              <w:rPr>
                <w:rFonts w:hint="eastAsia" w:ascii="宋体" w:hAnsi="宋体" w:cs="宋体"/>
                <w:sz w:val="24"/>
              </w:rPr>
              <w:t>绩效管理覆盖率</w:t>
            </w:r>
          </w:p>
        </w:tc>
        <w:tc>
          <w:tcPr>
            <w:tcW w:w="1500" w:type="dxa"/>
            <w:vAlign w:val="center"/>
          </w:tcPr>
          <w:p w14:paraId="2AB86EE7">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2114ECC2">
            <w:pPr>
              <w:spacing w:line="360" w:lineRule="auto"/>
              <w:jc w:val="center"/>
              <w:rPr>
                <w:rFonts w:ascii="宋体" w:hAnsi="宋体" w:cs="宋体"/>
                <w:kern w:val="0"/>
                <w:sz w:val="24"/>
              </w:rPr>
            </w:pPr>
            <w:r>
              <w:rPr>
                <w:rFonts w:hint="eastAsia" w:ascii="宋体" w:hAnsi="宋体" w:cs="宋体"/>
                <w:sz w:val="24"/>
              </w:rPr>
              <w:t>100%</w:t>
            </w:r>
          </w:p>
        </w:tc>
        <w:tc>
          <w:tcPr>
            <w:tcW w:w="1815" w:type="dxa"/>
            <w:vAlign w:val="center"/>
          </w:tcPr>
          <w:p w14:paraId="79FEB01C">
            <w:pPr>
              <w:spacing w:line="360" w:lineRule="auto"/>
              <w:jc w:val="center"/>
              <w:rPr>
                <w:rFonts w:ascii="宋体" w:hAnsi="宋体" w:cs="宋体"/>
                <w:kern w:val="0"/>
                <w:sz w:val="24"/>
              </w:rPr>
            </w:pPr>
            <w:r>
              <w:rPr>
                <w:rFonts w:hint="eastAsia" w:ascii="宋体" w:hAnsi="宋体" w:cs="宋体"/>
                <w:sz w:val="24"/>
              </w:rPr>
              <w:t>省预算管理一体化系统、市预算绩效管理信息系统</w:t>
            </w:r>
          </w:p>
        </w:tc>
        <w:tc>
          <w:tcPr>
            <w:tcW w:w="1185" w:type="dxa"/>
            <w:vAlign w:val="center"/>
          </w:tcPr>
          <w:p w14:paraId="1524A49C">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371B1548">
            <w:pPr>
              <w:spacing w:line="360" w:lineRule="auto"/>
              <w:rPr>
                <w:rFonts w:ascii="宋体" w:hAnsi="宋体" w:cs="宋体"/>
                <w:kern w:val="0"/>
                <w:sz w:val="22"/>
              </w:rPr>
            </w:pPr>
          </w:p>
        </w:tc>
      </w:tr>
      <w:tr w14:paraId="35B4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1D2449D9">
            <w:pPr>
              <w:spacing w:line="360" w:lineRule="auto"/>
              <w:jc w:val="center"/>
              <w:rPr>
                <w:rFonts w:ascii="宋体" w:hAnsi="宋体" w:cs="宋体"/>
                <w:kern w:val="0"/>
                <w:sz w:val="24"/>
              </w:rPr>
            </w:pPr>
          </w:p>
        </w:tc>
        <w:tc>
          <w:tcPr>
            <w:tcW w:w="1680" w:type="dxa"/>
            <w:vMerge w:val="continue"/>
            <w:vAlign w:val="center"/>
          </w:tcPr>
          <w:p w14:paraId="4505F7D9">
            <w:pPr>
              <w:spacing w:line="360" w:lineRule="auto"/>
              <w:jc w:val="center"/>
              <w:rPr>
                <w:rFonts w:ascii="宋体" w:hAnsi="宋体" w:cs="宋体"/>
                <w:kern w:val="0"/>
                <w:sz w:val="24"/>
              </w:rPr>
            </w:pPr>
          </w:p>
        </w:tc>
        <w:tc>
          <w:tcPr>
            <w:tcW w:w="2025" w:type="dxa"/>
            <w:vAlign w:val="center"/>
          </w:tcPr>
          <w:p w14:paraId="14E753BE">
            <w:pPr>
              <w:spacing w:line="360" w:lineRule="auto"/>
              <w:jc w:val="center"/>
              <w:rPr>
                <w:rFonts w:ascii="宋体" w:hAnsi="宋体" w:cs="宋体"/>
                <w:kern w:val="0"/>
                <w:sz w:val="24"/>
              </w:rPr>
            </w:pPr>
            <w:r>
              <w:rPr>
                <w:rFonts w:hint="eastAsia" w:ascii="宋体" w:hAnsi="宋体" w:cs="宋体"/>
                <w:sz w:val="24"/>
              </w:rPr>
              <w:t>预算管理制度健全性</w:t>
            </w:r>
          </w:p>
        </w:tc>
        <w:tc>
          <w:tcPr>
            <w:tcW w:w="1500" w:type="dxa"/>
            <w:vAlign w:val="center"/>
          </w:tcPr>
          <w:p w14:paraId="0E17BEDB">
            <w:pPr>
              <w:spacing w:line="360" w:lineRule="auto"/>
              <w:jc w:val="center"/>
              <w:rPr>
                <w:rFonts w:ascii="宋体" w:hAnsi="宋体" w:cs="宋体"/>
                <w:kern w:val="0"/>
                <w:sz w:val="24"/>
              </w:rPr>
            </w:pPr>
            <w:r>
              <w:rPr>
                <w:rFonts w:hint="eastAsia" w:ascii="宋体" w:hAnsi="宋体" w:cs="宋体"/>
                <w:sz w:val="24"/>
              </w:rPr>
              <w:t>健全</w:t>
            </w:r>
          </w:p>
        </w:tc>
        <w:tc>
          <w:tcPr>
            <w:tcW w:w="1470" w:type="dxa"/>
            <w:vAlign w:val="center"/>
          </w:tcPr>
          <w:p w14:paraId="4AB3ADD1">
            <w:pPr>
              <w:spacing w:line="360" w:lineRule="auto"/>
              <w:jc w:val="center"/>
              <w:rPr>
                <w:rFonts w:ascii="宋体" w:hAnsi="宋体" w:cs="宋体"/>
                <w:kern w:val="0"/>
                <w:sz w:val="24"/>
              </w:rPr>
            </w:pPr>
            <w:r>
              <w:rPr>
                <w:rFonts w:hint="eastAsia" w:ascii="宋体" w:hAnsi="宋体" w:cs="宋体"/>
                <w:sz w:val="24"/>
              </w:rPr>
              <w:t>健全</w:t>
            </w:r>
          </w:p>
        </w:tc>
        <w:tc>
          <w:tcPr>
            <w:tcW w:w="1815" w:type="dxa"/>
            <w:vAlign w:val="center"/>
          </w:tcPr>
          <w:p w14:paraId="636EC7F4">
            <w:pPr>
              <w:spacing w:line="360" w:lineRule="auto"/>
              <w:jc w:val="center"/>
              <w:rPr>
                <w:rFonts w:ascii="宋体" w:hAnsi="宋体" w:cs="宋体"/>
                <w:kern w:val="0"/>
                <w:sz w:val="24"/>
              </w:rPr>
            </w:pPr>
            <w:r>
              <w:rPr>
                <w:rFonts w:hint="eastAsia" w:ascii="宋体" w:hAnsi="宋体" w:cs="宋体"/>
                <w:sz w:val="24"/>
              </w:rPr>
              <w:t>预算管理相关制度</w:t>
            </w:r>
          </w:p>
        </w:tc>
        <w:tc>
          <w:tcPr>
            <w:tcW w:w="1185" w:type="dxa"/>
            <w:vAlign w:val="center"/>
          </w:tcPr>
          <w:p w14:paraId="7848ECC3">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29399B6E">
            <w:pPr>
              <w:spacing w:line="360" w:lineRule="auto"/>
              <w:rPr>
                <w:rFonts w:ascii="宋体" w:hAnsi="宋体" w:cs="宋体"/>
                <w:kern w:val="0"/>
                <w:sz w:val="22"/>
              </w:rPr>
            </w:pPr>
          </w:p>
        </w:tc>
      </w:tr>
      <w:tr w14:paraId="0561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166FA078">
            <w:pPr>
              <w:spacing w:line="360" w:lineRule="auto"/>
              <w:jc w:val="center"/>
              <w:rPr>
                <w:rFonts w:ascii="宋体" w:hAnsi="宋体" w:cs="宋体"/>
                <w:kern w:val="0"/>
                <w:sz w:val="24"/>
              </w:rPr>
            </w:pPr>
          </w:p>
        </w:tc>
        <w:tc>
          <w:tcPr>
            <w:tcW w:w="1680" w:type="dxa"/>
            <w:vMerge w:val="continue"/>
            <w:vAlign w:val="center"/>
          </w:tcPr>
          <w:p w14:paraId="246FE7B7">
            <w:pPr>
              <w:spacing w:line="360" w:lineRule="auto"/>
              <w:jc w:val="center"/>
              <w:rPr>
                <w:rFonts w:ascii="宋体" w:hAnsi="宋体" w:cs="宋体"/>
                <w:kern w:val="0"/>
                <w:sz w:val="24"/>
              </w:rPr>
            </w:pPr>
          </w:p>
        </w:tc>
        <w:tc>
          <w:tcPr>
            <w:tcW w:w="2025" w:type="dxa"/>
            <w:vAlign w:val="center"/>
          </w:tcPr>
          <w:p w14:paraId="33604C61">
            <w:pPr>
              <w:spacing w:line="360" w:lineRule="auto"/>
              <w:jc w:val="center"/>
              <w:rPr>
                <w:rFonts w:ascii="宋体" w:hAnsi="宋体" w:cs="宋体"/>
                <w:kern w:val="0"/>
                <w:sz w:val="24"/>
              </w:rPr>
            </w:pPr>
            <w:r>
              <w:rPr>
                <w:rFonts w:hint="eastAsia" w:ascii="宋体" w:hAnsi="宋体" w:cs="宋体"/>
                <w:sz w:val="24"/>
              </w:rPr>
              <w:t>非税收入管理合规性</w:t>
            </w:r>
          </w:p>
        </w:tc>
        <w:tc>
          <w:tcPr>
            <w:tcW w:w="1500" w:type="dxa"/>
            <w:vAlign w:val="center"/>
          </w:tcPr>
          <w:p w14:paraId="77EEE3B1">
            <w:pPr>
              <w:spacing w:line="360" w:lineRule="auto"/>
              <w:jc w:val="center"/>
              <w:rPr>
                <w:rFonts w:ascii="宋体" w:hAnsi="宋体" w:cs="宋体"/>
                <w:kern w:val="0"/>
                <w:sz w:val="24"/>
              </w:rPr>
            </w:pPr>
            <w:r>
              <w:rPr>
                <w:rFonts w:hint="eastAsia" w:ascii="宋体" w:hAnsi="宋体" w:cs="宋体"/>
                <w:sz w:val="24"/>
              </w:rPr>
              <w:t>合规</w:t>
            </w:r>
          </w:p>
        </w:tc>
        <w:tc>
          <w:tcPr>
            <w:tcW w:w="1470" w:type="dxa"/>
            <w:vAlign w:val="center"/>
          </w:tcPr>
          <w:p w14:paraId="2FB1CC73">
            <w:pPr>
              <w:spacing w:line="360" w:lineRule="auto"/>
              <w:jc w:val="center"/>
              <w:rPr>
                <w:rFonts w:ascii="宋体" w:hAnsi="宋体" w:cs="宋体"/>
                <w:kern w:val="0"/>
                <w:sz w:val="24"/>
              </w:rPr>
            </w:pPr>
            <w:r>
              <w:rPr>
                <w:rFonts w:hint="eastAsia" w:ascii="宋体" w:hAnsi="宋体" w:cs="宋体"/>
                <w:sz w:val="24"/>
              </w:rPr>
              <w:t>合规</w:t>
            </w:r>
          </w:p>
        </w:tc>
        <w:tc>
          <w:tcPr>
            <w:tcW w:w="1815" w:type="dxa"/>
            <w:vAlign w:val="center"/>
          </w:tcPr>
          <w:p w14:paraId="52C88DD0">
            <w:pPr>
              <w:spacing w:line="360" w:lineRule="auto"/>
              <w:jc w:val="center"/>
              <w:rPr>
                <w:rFonts w:ascii="宋体" w:hAnsi="宋体" w:cs="宋体"/>
                <w:kern w:val="0"/>
                <w:sz w:val="24"/>
              </w:rPr>
            </w:pPr>
            <w:r>
              <w:rPr>
                <w:rFonts w:hint="eastAsia" w:ascii="宋体" w:hAnsi="宋体" w:cs="宋体"/>
                <w:sz w:val="24"/>
              </w:rPr>
              <w:t>市非税收入管理系统</w:t>
            </w:r>
          </w:p>
        </w:tc>
        <w:tc>
          <w:tcPr>
            <w:tcW w:w="1185" w:type="dxa"/>
            <w:vAlign w:val="center"/>
          </w:tcPr>
          <w:p w14:paraId="5C95559D">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78AE68C3">
            <w:pPr>
              <w:spacing w:line="360" w:lineRule="auto"/>
              <w:rPr>
                <w:rFonts w:ascii="宋体" w:hAnsi="宋体" w:cs="宋体"/>
                <w:kern w:val="0"/>
                <w:sz w:val="22"/>
              </w:rPr>
            </w:pPr>
          </w:p>
        </w:tc>
      </w:tr>
      <w:tr w14:paraId="07E69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62E92911">
            <w:pPr>
              <w:spacing w:line="360" w:lineRule="auto"/>
              <w:jc w:val="center"/>
              <w:rPr>
                <w:rFonts w:ascii="宋体" w:hAnsi="宋体" w:cs="宋体"/>
                <w:kern w:val="0"/>
                <w:sz w:val="24"/>
              </w:rPr>
            </w:pPr>
          </w:p>
        </w:tc>
        <w:tc>
          <w:tcPr>
            <w:tcW w:w="1680" w:type="dxa"/>
            <w:vMerge w:val="continue"/>
            <w:vAlign w:val="center"/>
          </w:tcPr>
          <w:p w14:paraId="6B7C4D4A">
            <w:pPr>
              <w:spacing w:line="360" w:lineRule="auto"/>
              <w:jc w:val="center"/>
              <w:rPr>
                <w:rFonts w:ascii="宋体" w:hAnsi="宋体" w:cs="宋体"/>
                <w:kern w:val="0"/>
                <w:sz w:val="24"/>
              </w:rPr>
            </w:pPr>
          </w:p>
        </w:tc>
        <w:tc>
          <w:tcPr>
            <w:tcW w:w="2025" w:type="dxa"/>
            <w:vAlign w:val="center"/>
          </w:tcPr>
          <w:p w14:paraId="7BB30E42">
            <w:pPr>
              <w:spacing w:line="360" w:lineRule="auto"/>
              <w:jc w:val="center"/>
              <w:rPr>
                <w:rFonts w:ascii="宋体" w:hAnsi="宋体" w:cs="宋体"/>
                <w:kern w:val="0"/>
                <w:sz w:val="24"/>
              </w:rPr>
            </w:pPr>
            <w:r>
              <w:rPr>
                <w:rFonts w:hint="eastAsia" w:ascii="宋体" w:hAnsi="宋体" w:cs="宋体"/>
                <w:sz w:val="24"/>
              </w:rPr>
              <w:t>资金使用合规性</w:t>
            </w:r>
          </w:p>
        </w:tc>
        <w:tc>
          <w:tcPr>
            <w:tcW w:w="1500" w:type="dxa"/>
            <w:vAlign w:val="center"/>
          </w:tcPr>
          <w:p w14:paraId="46829DBE">
            <w:pPr>
              <w:spacing w:line="360" w:lineRule="auto"/>
              <w:jc w:val="center"/>
              <w:rPr>
                <w:rFonts w:ascii="宋体" w:hAnsi="宋体" w:cs="宋体"/>
                <w:kern w:val="0"/>
                <w:sz w:val="24"/>
              </w:rPr>
            </w:pPr>
            <w:r>
              <w:rPr>
                <w:rFonts w:hint="eastAsia" w:ascii="宋体" w:hAnsi="宋体" w:cs="宋体"/>
                <w:sz w:val="24"/>
              </w:rPr>
              <w:t>合规</w:t>
            </w:r>
          </w:p>
        </w:tc>
        <w:tc>
          <w:tcPr>
            <w:tcW w:w="1470" w:type="dxa"/>
            <w:vAlign w:val="center"/>
          </w:tcPr>
          <w:p w14:paraId="4D76F4DF">
            <w:pPr>
              <w:spacing w:line="360" w:lineRule="auto"/>
              <w:jc w:val="center"/>
              <w:rPr>
                <w:rFonts w:ascii="宋体" w:hAnsi="宋体" w:cs="宋体"/>
                <w:kern w:val="0"/>
                <w:sz w:val="24"/>
              </w:rPr>
            </w:pPr>
            <w:r>
              <w:rPr>
                <w:rFonts w:hint="eastAsia" w:ascii="宋体" w:hAnsi="宋体" w:cs="宋体"/>
                <w:sz w:val="24"/>
              </w:rPr>
              <w:t>合规</w:t>
            </w:r>
          </w:p>
        </w:tc>
        <w:tc>
          <w:tcPr>
            <w:tcW w:w="1815" w:type="dxa"/>
            <w:vAlign w:val="center"/>
          </w:tcPr>
          <w:p w14:paraId="2BD2154E">
            <w:pPr>
              <w:spacing w:line="360" w:lineRule="auto"/>
              <w:jc w:val="center"/>
              <w:rPr>
                <w:rFonts w:ascii="宋体" w:hAnsi="宋体" w:cs="宋体"/>
                <w:kern w:val="0"/>
                <w:sz w:val="24"/>
              </w:rPr>
            </w:pPr>
            <w:r>
              <w:rPr>
                <w:rFonts w:hint="eastAsia" w:ascii="宋体" w:hAnsi="宋体" w:cs="宋体"/>
                <w:sz w:val="24"/>
              </w:rPr>
              <w:t>会议纪要、相关文件、原始凭证</w:t>
            </w:r>
          </w:p>
        </w:tc>
        <w:tc>
          <w:tcPr>
            <w:tcW w:w="1185" w:type="dxa"/>
            <w:vAlign w:val="center"/>
          </w:tcPr>
          <w:p w14:paraId="4CC74F48">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210F0B01">
            <w:pPr>
              <w:spacing w:line="360" w:lineRule="auto"/>
              <w:rPr>
                <w:rFonts w:ascii="宋体" w:hAnsi="宋体" w:cs="宋体"/>
                <w:kern w:val="0"/>
                <w:sz w:val="22"/>
              </w:rPr>
            </w:pPr>
          </w:p>
        </w:tc>
      </w:tr>
      <w:tr w14:paraId="32873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0C303B13">
            <w:pPr>
              <w:spacing w:line="360" w:lineRule="auto"/>
              <w:jc w:val="center"/>
              <w:rPr>
                <w:rFonts w:ascii="宋体" w:hAnsi="宋体" w:cs="宋体"/>
                <w:kern w:val="0"/>
                <w:sz w:val="24"/>
              </w:rPr>
            </w:pPr>
          </w:p>
        </w:tc>
        <w:tc>
          <w:tcPr>
            <w:tcW w:w="1680" w:type="dxa"/>
            <w:vMerge w:val="continue"/>
            <w:vAlign w:val="center"/>
          </w:tcPr>
          <w:p w14:paraId="675B9238">
            <w:pPr>
              <w:spacing w:line="360" w:lineRule="auto"/>
              <w:jc w:val="center"/>
              <w:rPr>
                <w:rFonts w:ascii="宋体" w:hAnsi="宋体" w:cs="宋体"/>
                <w:kern w:val="0"/>
                <w:sz w:val="24"/>
              </w:rPr>
            </w:pPr>
          </w:p>
        </w:tc>
        <w:tc>
          <w:tcPr>
            <w:tcW w:w="2025" w:type="dxa"/>
            <w:vAlign w:val="center"/>
          </w:tcPr>
          <w:p w14:paraId="2125A2A8">
            <w:pPr>
              <w:spacing w:line="360" w:lineRule="auto"/>
              <w:jc w:val="center"/>
              <w:rPr>
                <w:rFonts w:ascii="宋体" w:hAnsi="宋体" w:cs="宋体"/>
                <w:kern w:val="0"/>
                <w:sz w:val="24"/>
              </w:rPr>
            </w:pPr>
            <w:r>
              <w:rPr>
                <w:rFonts w:hint="eastAsia" w:ascii="宋体" w:hAnsi="宋体" w:cs="宋体"/>
                <w:sz w:val="24"/>
              </w:rPr>
              <w:t>基础信息完善性</w:t>
            </w:r>
          </w:p>
        </w:tc>
        <w:tc>
          <w:tcPr>
            <w:tcW w:w="1500" w:type="dxa"/>
            <w:vAlign w:val="center"/>
          </w:tcPr>
          <w:p w14:paraId="725FC739">
            <w:pPr>
              <w:spacing w:line="360" w:lineRule="auto"/>
              <w:jc w:val="center"/>
              <w:rPr>
                <w:rFonts w:ascii="宋体" w:hAnsi="宋体" w:cs="宋体"/>
                <w:kern w:val="0"/>
                <w:sz w:val="24"/>
              </w:rPr>
            </w:pPr>
            <w:r>
              <w:rPr>
                <w:rFonts w:hint="eastAsia" w:ascii="宋体" w:hAnsi="宋体" w:cs="宋体"/>
                <w:sz w:val="24"/>
              </w:rPr>
              <w:t>完善</w:t>
            </w:r>
          </w:p>
        </w:tc>
        <w:tc>
          <w:tcPr>
            <w:tcW w:w="1470" w:type="dxa"/>
            <w:vAlign w:val="center"/>
          </w:tcPr>
          <w:p w14:paraId="1F0DE0D5">
            <w:pPr>
              <w:spacing w:line="360" w:lineRule="auto"/>
              <w:jc w:val="center"/>
              <w:rPr>
                <w:rFonts w:ascii="宋体" w:hAnsi="宋体" w:cs="宋体"/>
                <w:kern w:val="0"/>
                <w:sz w:val="24"/>
              </w:rPr>
            </w:pPr>
            <w:r>
              <w:rPr>
                <w:rFonts w:hint="eastAsia" w:ascii="宋体" w:hAnsi="宋体" w:cs="宋体"/>
                <w:sz w:val="24"/>
              </w:rPr>
              <w:t>完善</w:t>
            </w:r>
          </w:p>
        </w:tc>
        <w:tc>
          <w:tcPr>
            <w:tcW w:w="1815" w:type="dxa"/>
            <w:vAlign w:val="center"/>
          </w:tcPr>
          <w:p w14:paraId="4E5D54D6">
            <w:pPr>
              <w:spacing w:line="360" w:lineRule="auto"/>
              <w:jc w:val="center"/>
              <w:rPr>
                <w:rFonts w:ascii="宋体" w:hAnsi="宋体" w:cs="宋体"/>
                <w:kern w:val="0"/>
                <w:sz w:val="24"/>
              </w:rPr>
            </w:pPr>
            <w:r>
              <w:rPr>
                <w:rFonts w:hint="eastAsia" w:ascii="宋体" w:hAnsi="宋体" w:cs="宋体"/>
                <w:sz w:val="24"/>
              </w:rPr>
              <w:t>省预算管理一体化系统、台账资料</w:t>
            </w:r>
          </w:p>
        </w:tc>
        <w:tc>
          <w:tcPr>
            <w:tcW w:w="1185" w:type="dxa"/>
            <w:vAlign w:val="center"/>
          </w:tcPr>
          <w:p w14:paraId="4CD89109">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1AE26BF0">
            <w:pPr>
              <w:spacing w:line="360" w:lineRule="auto"/>
              <w:rPr>
                <w:rFonts w:ascii="宋体" w:hAnsi="宋体" w:cs="宋体"/>
                <w:kern w:val="0"/>
                <w:sz w:val="22"/>
              </w:rPr>
            </w:pPr>
          </w:p>
        </w:tc>
      </w:tr>
      <w:tr w14:paraId="5FBC3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7B3E576B">
            <w:pPr>
              <w:spacing w:line="360" w:lineRule="auto"/>
              <w:jc w:val="center"/>
              <w:rPr>
                <w:rFonts w:ascii="宋体" w:hAnsi="宋体" w:cs="宋体"/>
                <w:kern w:val="0"/>
                <w:sz w:val="24"/>
              </w:rPr>
            </w:pPr>
          </w:p>
        </w:tc>
        <w:tc>
          <w:tcPr>
            <w:tcW w:w="1680" w:type="dxa"/>
            <w:vMerge w:val="continue"/>
            <w:vAlign w:val="center"/>
          </w:tcPr>
          <w:p w14:paraId="77FAF22E">
            <w:pPr>
              <w:spacing w:line="360" w:lineRule="auto"/>
              <w:jc w:val="center"/>
              <w:rPr>
                <w:rFonts w:ascii="宋体" w:hAnsi="宋体" w:cs="宋体"/>
                <w:kern w:val="0"/>
                <w:sz w:val="24"/>
              </w:rPr>
            </w:pPr>
          </w:p>
        </w:tc>
        <w:tc>
          <w:tcPr>
            <w:tcW w:w="2025" w:type="dxa"/>
            <w:vAlign w:val="center"/>
          </w:tcPr>
          <w:p w14:paraId="15ED37D8">
            <w:pPr>
              <w:spacing w:line="360" w:lineRule="auto"/>
              <w:jc w:val="center"/>
              <w:rPr>
                <w:rFonts w:ascii="宋体" w:hAnsi="宋体" w:cs="宋体"/>
                <w:kern w:val="0"/>
                <w:sz w:val="24"/>
              </w:rPr>
            </w:pPr>
            <w:r>
              <w:rPr>
                <w:rFonts w:hint="eastAsia" w:ascii="宋体" w:hAnsi="宋体" w:cs="宋体"/>
                <w:sz w:val="24"/>
              </w:rPr>
              <w:t>预决算信息公开度</w:t>
            </w:r>
          </w:p>
        </w:tc>
        <w:tc>
          <w:tcPr>
            <w:tcW w:w="1500" w:type="dxa"/>
            <w:vAlign w:val="center"/>
          </w:tcPr>
          <w:p w14:paraId="57993FAC">
            <w:pPr>
              <w:spacing w:line="360" w:lineRule="auto"/>
              <w:jc w:val="center"/>
              <w:rPr>
                <w:rFonts w:ascii="宋体" w:hAnsi="宋体" w:cs="宋体"/>
                <w:kern w:val="0"/>
                <w:sz w:val="24"/>
              </w:rPr>
            </w:pPr>
            <w:r>
              <w:rPr>
                <w:rFonts w:hint="eastAsia" w:ascii="宋体" w:hAnsi="宋体" w:cs="宋体"/>
                <w:sz w:val="24"/>
              </w:rPr>
              <w:t>公开</w:t>
            </w:r>
          </w:p>
        </w:tc>
        <w:tc>
          <w:tcPr>
            <w:tcW w:w="1470" w:type="dxa"/>
            <w:vAlign w:val="center"/>
          </w:tcPr>
          <w:p w14:paraId="3584BF54">
            <w:pPr>
              <w:spacing w:line="360" w:lineRule="auto"/>
              <w:jc w:val="center"/>
              <w:rPr>
                <w:rFonts w:ascii="宋体" w:hAnsi="宋体" w:cs="宋体"/>
                <w:kern w:val="0"/>
                <w:sz w:val="24"/>
              </w:rPr>
            </w:pPr>
            <w:r>
              <w:rPr>
                <w:rFonts w:hint="eastAsia" w:ascii="宋体" w:hAnsi="宋体" w:cs="宋体"/>
                <w:sz w:val="24"/>
              </w:rPr>
              <w:t>公开</w:t>
            </w:r>
          </w:p>
        </w:tc>
        <w:tc>
          <w:tcPr>
            <w:tcW w:w="1815" w:type="dxa"/>
            <w:vAlign w:val="center"/>
          </w:tcPr>
          <w:p w14:paraId="355D3C92">
            <w:pPr>
              <w:spacing w:line="360" w:lineRule="auto"/>
              <w:jc w:val="center"/>
              <w:rPr>
                <w:rFonts w:ascii="宋体" w:hAnsi="宋体" w:cs="宋体"/>
                <w:kern w:val="0"/>
                <w:sz w:val="24"/>
              </w:rPr>
            </w:pPr>
            <w:r>
              <w:rPr>
                <w:rFonts w:hint="eastAsia" w:ascii="宋体" w:hAnsi="宋体" w:cs="宋体"/>
                <w:sz w:val="24"/>
              </w:rPr>
              <w:t>省预决算公开平台、部门网站</w:t>
            </w:r>
          </w:p>
        </w:tc>
        <w:tc>
          <w:tcPr>
            <w:tcW w:w="1185" w:type="dxa"/>
            <w:vAlign w:val="center"/>
          </w:tcPr>
          <w:p w14:paraId="375D629B">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1F89571A">
            <w:pPr>
              <w:spacing w:line="360" w:lineRule="auto"/>
              <w:rPr>
                <w:rFonts w:ascii="宋体" w:hAnsi="宋体" w:cs="宋体"/>
                <w:kern w:val="0"/>
                <w:sz w:val="22"/>
              </w:rPr>
            </w:pPr>
          </w:p>
        </w:tc>
      </w:tr>
      <w:tr w14:paraId="7AB59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002A4A1F">
            <w:pPr>
              <w:spacing w:line="360" w:lineRule="auto"/>
              <w:jc w:val="center"/>
              <w:rPr>
                <w:rFonts w:ascii="宋体" w:hAnsi="宋体" w:cs="宋体"/>
                <w:kern w:val="0"/>
                <w:sz w:val="24"/>
              </w:rPr>
            </w:pPr>
          </w:p>
        </w:tc>
        <w:tc>
          <w:tcPr>
            <w:tcW w:w="1680" w:type="dxa"/>
            <w:vMerge w:val="continue"/>
            <w:vAlign w:val="center"/>
          </w:tcPr>
          <w:p w14:paraId="4970A9AB">
            <w:pPr>
              <w:spacing w:line="360" w:lineRule="auto"/>
              <w:jc w:val="center"/>
              <w:rPr>
                <w:rFonts w:ascii="宋体" w:hAnsi="宋体" w:cs="宋体"/>
                <w:kern w:val="0"/>
                <w:sz w:val="24"/>
              </w:rPr>
            </w:pPr>
          </w:p>
        </w:tc>
        <w:tc>
          <w:tcPr>
            <w:tcW w:w="2025" w:type="dxa"/>
            <w:vAlign w:val="center"/>
          </w:tcPr>
          <w:p w14:paraId="335C5B4A">
            <w:pPr>
              <w:spacing w:line="360" w:lineRule="auto"/>
              <w:jc w:val="center"/>
              <w:rPr>
                <w:rFonts w:ascii="宋体" w:hAnsi="宋体" w:cs="宋体"/>
                <w:kern w:val="0"/>
                <w:sz w:val="24"/>
              </w:rPr>
            </w:pPr>
            <w:r>
              <w:rPr>
                <w:rFonts w:hint="eastAsia" w:ascii="宋体" w:hAnsi="宋体" w:cs="宋体"/>
                <w:sz w:val="24"/>
              </w:rPr>
              <w:t>资产管理规范性</w:t>
            </w:r>
          </w:p>
        </w:tc>
        <w:tc>
          <w:tcPr>
            <w:tcW w:w="1500" w:type="dxa"/>
            <w:vAlign w:val="center"/>
          </w:tcPr>
          <w:p w14:paraId="7B4AA782">
            <w:pPr>
              <w:spacing w:line="360" w:lineRule="auto"/>
              <w:jc w:val="center"/>
              <w:rPr>
                <w:rFonts w:ascii="宋体" w:hAnsi="宋体" w:cs="宋体"/>
                <w:kern w:val="0"/>
                <w:sz w:val="24"/>
              </w:rPr>
            </w:pPr>
            <w:r>
              <w:rPr>
                <w:rFonts w:hint="eastAsia" w:ascii="宋体" w:hAnsi="宋体" w:cs="宋体"/>
                <w:sz w:val="24"/>
              </w:rPr>
              <w:t>规范</w:t>
            </w:r>
          </w:p>
        </w:tc>
        <w:tc>
          <w:tcPr>
            <w:tcW w:w="1470" w:type="dxa"/>
            <w:vAlign w:val="center"/>
          </w:tcPr>
          <w:p w14:paraId="13CB250E">
            <w:pPr>
              <w:spacing w:line="360" w:lineRule="auto"/>
              <w:jc w:val="center"/>
              <w:rPr>
                <w:rFonts w:ascii="宋体" w:hAnsi="宋体" w:cs="宋体"/>
                <w:kern w:val="0"/>
                <w:sz w:val="24"/>
              </w:rPr>
            </w:pPr>
            <w:r>
              <w:rPr>
                <w:rFonts w:hint="eastAsia" w:ascii="宋体" w:hAnsi="宋体" w:cs="宋体"/>
                <w:sz w:val="24"/>
              </w:rPr>
              <w:t>规范</w:t>
            </w:r>
          </w:p>
        </w:tc>
        <w:tc>
          <w:tcPr>
            <w:tcW w:w="1815" w:type="dxa"/>
            <w:vAlign w:val="center"/>
          </w:tcPr>
          <w:p w14:paraId="7563A437">
            <w:pPr>
              <w:spacing w:line="360" w:lineRule="auto"/>
              <w:jc w:val="center"/>
              <w:rPr>
                <w:rFonts w:ascii="宋体" w:hAnsi="宋体" w:cs="宋体"/>
                <w:kern w:val="0"/>
                <w:sz w:val="24"/>
              </w:rPr>
            </w:pPr>
            <w:r>
              <w:rPr>
                <w:rFonts w:hint="eastAsia" w:ascii="宋体" w:hAnsi="宋体" w:cs="宋体"/>
                <w:sz w:val="24"/>
              </w:rPr>
              <w:t>省行政事业单位资产云平台、台账资料</w:t>
            </w:r>
          </w:p>
        </w:tc>
        <w:tc>
          <w:tcPr>
            <w:tcW w:w="1185" w:type="dxa"/>
            <w:vAlign w:val="center"/>
          </w:tcPr>
          <w:p w14:paraId="74B0B259">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450EB822">
            <w:pPr>
              <w:spacing w:line="360" w:lineRule="auto"/>
              <w:rPr>
                <w:rFonts w:ascii="宋体" w:hAnsi="宋体" w:cs="宋体"/>
                <w:kern w:val="0"/>
                <w:sz w:val="22"/>
              </w:rPr>
            </w:pPr>
          </w:p>
        </w:tc>
      </w:tr>
      <w:tr w14:paraId="79FAC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6C34FF5B">
            <w:pPr>
              <w:spacing w:line="360" w:lineRule="auto"/>
              <w:jc w:val="center"/>
              <w:rPr>
                <w:rFonts w:ascii="宋体" w:hAnsi="宋体" w:cs="宋体"/>
                <w:kern w:val="0"/>
                <w:sz w:val="24"/>
              </w:rPr>
            </w:pPr>
          </w:p>
        </w:tc>
        <w:tc>
          <w:tcPr>
            <w:tcW w:w="1680" w:type="dxa"/>
            <w:vMerge w:val="continue"/>
            <w:vAlign w:val="center"/>
          </w:tcPr>
          <w:p w14:paraId="0F6A4946">
            <w:pPr>
              <w:spacing w:line="360" w:lineRule="auto"/>
              <w:jc w:val="center"/>
              <w:rPr>
                <w:rFonts w:ascii="宋体" w:hAnsi="宋体" w:cs="宋体"/>
                <w:kern w:val="0"/>
                <w:sz w:val="24"/>
              </w:rPr>
            </w:pPr>
          </w:p>
        </w:tc>
        <w:tc>
          <w:tcPr>
            <w:tcW w:w="2025" w:type="dxa"/>
            <w:vAlign w:val="center"/>
          </w:tcPr>
          <w:p w14:paraId="3AAEA67F">
            <w:pPr>
              <w:spacing w:line="360" w:lineRule="auto"/>
              <w:jc w:val="center"/>
              <w:rPr>
                <w:rFonts w:ascii="宋体" w:hAnsi="宋体" w:cs="宋体"/>
                <w:kern w:val="0"/>
                <w:sz w:val="24"/>
              </w:rPr>
            </w:pPr>
            <w:r>
              <w:rPr>
                <w:rFonts w:hint="eastAsia" w:ascii="宋体" w:hAnsi="宋体" w:cs="宋体"/>
                <w:sz w:val="24"/>
              </w:rPr>
              <w:t>固定资产利用率</w:t>
            </w:r>
          </w:p>
        </w:tc>
        <w:tc>
          <w:tcPr>
            <w:tcW w:w="1500" w:type="dxa"/>
            <w:vAlign w:val="center"/>
          </w:tcPr>
          <w:p w14:paraId="43894170">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70F71C37">
            <w:pPr>
              <w:spacing w:line="360" w:lineRule="auto"/>
              <w:jc w:val="center"/>
              <w:rPr>
                <w:rFonts w:ascii="宋体" w:hAnsi="宋体" w:cs="宋体"/>
                <w:kern w:val="0"/>
                <w:sz w:val="24"/>
              </w:rPr>
            </w:pPr>
            <w:r>
              <w:rPr>
                <w:rFonts w:hint="eastAsia" w:ascii="宋体" w:hAnsi="宋体" w:cs="宋体"/>
                <w:sz w:val="24"/>
              </w:rPr>
              <w:t>91%</w:t>
            </w:r>
          </w:p>
        </w:tc>
        <w:tc>
          <w:tcPr>
            <w:tcW w:w="1815" w:type="dxa"/>
            <w:vAlign w:val="center"/>
          </w:tcPr>
          <w:p w14:paraId="2D55E4AE">
            <w:pPr>
              <w:spacing w:line="360" w:lineRule="auto"/>
              <w:jc w:val="center"/>
              <w:rPr>
                <w:rFonts w:ascii="宋体" w:hAnsi="宋体" w:cs="宋体"/>
                <w:kern w:val="0"/>
                <w:sz w:val="24"/>
              </w:rPr>
            </w:pPr>
            <w:r>
              <w:rPr>
                <w:rFonts w:hint="eastAsia" w:ascii="宋体" w:hAnsi="宋体" w:cs="宋体"/>
                <w:sz w:val="24"/>
              </w:rPr>
              <w:t>省行政事业单位资产云平台、台账资料</w:t>
            </w:r>
          </w:p>
        </w:tc>
        <w:tc>
          <w:tcPr>
            <w:tcW w:w="1185" w:type="dxa"/>
            <w:vAlign w:val="center"/>
          </w:tcPr>
          <w:p w14:paraId="0CB88833">
            <w:pPr>
              <w:spacing w:line="360" w:lineRule="auto"/>
              <w:jc w:val="center"/>
              <w:rPr>
                <w:rFonts w:ascii="宋体" w:hAnsi="宋体" w:cs="宋体"/>
                <w:kern w:val="0"/>
                <w:sz w:val="24"/>
              </w:rPr>
            </w:pPr>
            <w:r>
              <w:rPr>
                <w:rFonts w:hint="eastAsia" w:ascii="宋体" w:hAnsi="宋体" w:cs="宋体"/>
                <w:sz w:val="24"/>
              </w:rPr>
              <w:t>-9.00%</w:t>
            </w:r>
          </w:p>
        </w:tc>
        <w:tc>
          <w:tcPr>
            <w:tcW w:w="3248" w:type="dxa"/>
          </w:tcPr>
          <w:p w14:paraId="64B2D4D3">
            <w:pPr>
              <w:spacing w:line="360" w:lineRule="auto"/>
              <w:rPr>
                <w:rFonts w:ascii="宋体" w:hAnsi="宋体" w:cs="宋体"/>
                <w:kern w:val="0"/>
                <w:sz w:val="22"/>
              </w:rPr>
            </w:pPr>
            <w:r>
              <w:rPr>
                <w:rFonts w:hint="eastAsia" w:ascii="宋体" w:hAnsi="宋体" w:cs="宋体"/>
                <w:sz w:val="24"/>
              </w:rPr>
              <w:t>存在一批已经报废的固定资产。</w:t>
            </w:r>
          </w:p>
        </w:tc>
      </w:tr>
      <w:tr w14:paraId="29EB8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6A251679">
            <w:pPr>
              <w:spacing w:line="360" w:lineRule="auto"/>
              <w:jc w:val="center"/>
              <w:rPr>
                <w:rFonts w:ascii="宋体" w:hAnsi="宋体" w:cs="宋体"/>
                <w:kern w:val="0"/>
                <w:sz w:val="24"/>
              </w:rPr>
            </w:pPr>
          </w:p>
        </w:tc>
        <w:tc>
          <w:tcPr>
            <w:tcW w:w="1680" w:type="dxa"/>
            <w:vMerge w:val="continue"/>
            <w:vAlign w:val="center"/>
          </w:tcPr>
          <w:p w14:paraId="505D123C">
            <w:pPr>
              <w:spacing w:line="360" w:lineRule="auto"/>
              <w:jc w:val="center"/>
              <w:rPr>
                <w:rFonts w:ascii="宋体" w:hAnsi="宋体" w:cs="宋体"/>
                <w:kern w:val="0"/>
                <w:sz w:val="24"/>
              </w:rPr>
            </w:pPr>
          </w:p>
        </w:tc>
        <w:tc>
          <w:tcPr>
            <w:tcW w:w="2025" w:type="dxa"/>
            <w:vAlign w:val="center"/>
          </w:tcPr>
          <w:p w14:paraId="2780EF98">
            <w:pPr>
              <w:spacing w:line="360" w:lineRule="auto"/>
              <w:jc w:val="center"/>
              <w:rPr>
                <w:rFonts w:ascii="宋体" w:hAnsi="宋体" w:cs="宋体"/>
                <w:kern w:val="0"/>
                <w:sz w:val="24"/>
              </w:rPr>
            </w:pPr>
            <w:r>
              <w:rPr>
                <w:rFonts w:hint="eastAsia" w:ascii="宋体" w:hAnsi="宋体" w:cs="宋体"/>
                <w:sz w:val="24"/>
              </w:rPr>
              <w:t>资产管理制度健全性</w:t>
            </w:r>
          </w:p>
        </w:tc>
        <w:tc>
          <w:tcPr>
            <w:tcW w:w="1500" w:type="dxa"/>
            <w:vAlign w:val="center"/>
          </w:tcPr>
          <w:p w14:paraId="2A4B110A">
            <w:pPr>
              <w:spacing w:line="360" w:lineRule="auto"/>
              <w:jc w:val="center"/>
              <w:rPr>
                <w:rFonts w:ascii="宋体" w:hAnsi="宋体" w:cs="宋体"/>
                <w:kern w:val="0"/>
                <w:sz w:val="24"/>
              </w:rPr>
            </w:pPr>
            <w:r>
              <w:rPr>
                <w:rFonts w:hint="eastAsia" w:ascii="宋体" w:hAnsi="宋体" w:cs="宋体"/>
                <w:sz w:val="24"/>
              </w:rPr>
              <w:t>健全</w:t>
            </w:r>
          </w:p>
        </w:tc>
        <w:tc>
          <w:tcPr>
            <w:tcW w:w="1470" w:type="dxa"/>
            <w:vAlign w:val="center"/>
          </w:tcPr>
          <w:p w14:paraId="5F0D559D">
            <w:pPr>
              <w:spacing w:line="360" w:lineRule="auto"/>
              <w:jc w:val="center"/>
              <w:rPr>
                <w:rFonts w:ascii="宋体" w:hAnsi="宋体" w:cs="宋体"/>
                <w:kern w:val="0"/>
                <w:sz w:val="24"/>
              </w:rPr>
            </w:pPr>
            <w:r>
              <w:rPr>
                <w:rFonts w:hint="eastAsia" w:ascii="宋体" w:hAnsi="宋体" w:cs="宋体"/>
                <w:sz w:val="24"/>
              </w:rPr>
              <w:t>健全</w:t>
            </w:r>
          </w:p>
        </w:tc>
        <w:tc>
          <w:tcPr>
            <w:tcW w:w="1815" w:type="dxa"/>
            <w:vAlign w:val="center"/>
          </w:tcPr>
          <w:p w14:paraId="308538A1">
            <w:pPr>
              <w:spacing w:line="360" w:lineRule="auto"/>
              <w:jc w:val="center"/>
              <w:rPr>
                <w:rFonts w:ascii="宋体" w:hAnsi="宋体" w:cs="宋体"/>
                <w:kern w:val="0"/>
                <w:sz w:val="24"/>
              </w:rPr>
            </w:pPr>
            <w:r>
              <w:rPr>
                <w:rFonts w:hint="eastAsia" w:ascii="宋体" w:hAnsi="宋体" w:cs="宋体"/>
                <w:sz w:val="24"/>
              </w:rPr>
              <w:t>资产管理相关制度</w:t>
            </w:r>
          </w:p>
        </w:tc>
        <w:tc>
          <w:tcPr>
            <w:tcW w:w="1185" w:type="dxa"/>
            <w:vAlign w:val="center"/>
          </w:tcPr>
          <w:p w14:paraId="7DCD75EE">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0AAF810B">
            <w:pPr>
              <w:spacing w:line="360" w:lineRule="auto"/>
              <w:rPr>
                <w:rFonts w:ascii="宋体" w:hAnsi="宋体" w:cs="宋体"/>
                <w:kern w:val="0"/>
                <w:sz w:val="22"/>
              </w:rPr>
            </w:pPr>
          </w:p>
        </w:tc>
      </w:tr>
      <w:tr w14:paraId="312A9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228C8EC2">
            <w:pPr>
              <w:spacing w:line="360" w:lineRule="auto"/>
              <w:jc w:val="center"/>
              <w:rPr>
                <w:rFonts w:ascii="宋体" w:hAnsi="宋体" w:cs="宋体"/>
                <w:kern w:val="0"/>
                <w:sz w:val="24"/>
              </w:rPr>
            </w:pPr>
          </w:p>
        </w:tc>
        <w:tc>
          <w:tcPr>
            <w:tcW w:w="1680" w:type="dxa"/>
            <w:vMerge w:val="continue"/>
            <w:vAlign w:val="center"/>
          </w:tcPr>
          <w:p w14:paraId="1D6620CF">
            <w:pPr>
              <w:spacing w:line="360" w:lineRule="auto"/>
              <w:jc w:val="center"/>
              <w:rPr>
                <w:rFonts w:ascii="宋体" w:hAnsi="宋体" w:cs="宋体"/>
                <w:kern w:val="0"/>
                <w:sz w:val="24"/>
              </w:rPr>
            </w:pPr>
          </w:p>
        </w:tc>
        <w:tc>
          <w:tcPr>
            <w:tcW w:w="2025" w:type="dxa"/>
            <w:vAlign w:val="center"/>
          </w:tcPr>
          <w:p w14:paraId="0BA76758">
            <w:pPr>
              <w:spacing w:line="360" w:lineRule="auto"/>
              <w:jc w:val="center"/>
              <w:rPr>
                <w:rFonts w:ascii="宋体" w:hAnsi="宋体" w:cs="宋体"/>
                <w:kern w:val="0"/>
                <w:sz w:val="24"/>
              </w:rPr>
            </w:pPr>
            <w:r>
              <w:rPr>
                <w:rFonts w:hint="eastAsia" w:ascii="宋体" w:hAnsi="宋体" w:cs="宋体"/>
                <w:sz w:val="24"/>
              </w:rPr>
              <w:t>项目管理制度健全性</w:t>
            </w:r>
          </w:p>
        </w:tc>
        <w:tc>
          <w:tcPr>
            <w:tcW w:w="1500" w:type="dxa"/>
            <w:vAlign w:val="center"/>
          </w:tcPr>
          <w:p w14:paraId="6548E74A">
            <w:pPr>
              <w:spacing w:line="360" w:lineRule="auto"/>
              <w:jc w:val="center"/>
              <w:rPr>
                <w:rFonts w:ascii="宋体" w:hAnsi="宋体" w:cs="宋体"/>
                <w:kern w:val="0"/>
                <w:sz w:val="24"/>
              </w:rPr>
            </w:pPr>
            <w:r>
              <w:rPr>
                <w:rFonts w:hint="eastAsia" w:ascii="宋体" w:hAnsi="宋体" w:cs="宋体"/>
                <w:sz w:val="24"/>
              </w:rPr>
              <w:t>健全</w:t>
            </w:r>
          </w:p>
        </w:tc>
        <w:tc>
          <w:tcPr>
            <w:tcW w:w="1470" w:type="dxa"/>
            <w:vAlign w:val="center"/>
          </w:tcPr>
          <w:p w14:paraId="4EAEBC59">
            <w:pPr>
              <w:spacing w:line="360" w:lineRule="auto"/>
              <w:jc w:val="center"/>
              <w:rPr>
                <w:rFonts w:ascii="宋体" w:hAnsi="宋体" w:cs="宋体"/>
                <w:kern w:val="0"/>
                <w:sz w:val="24"/>
              </w:rPr>
            </w:pPr>
            <w:r>
              <w:rPr>
                <w:rFonts w:hint="eastAsia" w:ascii="宋体" w:hAnsi="宋体" w:cs="宋体"/>
                <w:sz w:val="24"/>
              </w:rPr>
              <w:t>健全</w:t>
            </w:r>
          </w:p>
        </w:tc>
        <w:tc>
          <w:tcPr>
            <w:tcW w:w="1815" w:type="dxa"/>
            <w:vAlign w:val="center"/>
          </w:tcPr>
          <w:p w14:paraId="62F3ED15">
            <w:pPr>
              <w:spacing w:line="360" w:lineRule="auto"/>
              <w:jc w:val="center"/>
              <w:rPr>
                <w:rFonts w:ascii="宋体" w:hAnsi="宋体" w:cs="宋体"/>
                <w:kern w:val="0"/>
                <w:sz w:val="24"/>
              </w:rPr>
            </w:pPr>
            <w:r>
              <w:rPr>
                <w:rFonts w:hint="eastAsia" w:ascii="宋体" w:hAnsi="宋体" w:cs="宋体"/>
                <w:sz w:val="24"/>
              </w:rPr>
              <w:t>项目管理相关制度</w:t>
            </w:r>
          </w:p>
        </w:tc>
        <w:tc>
          <w:tcPr>
            <w:tcW w:w="1185" w:type="dxa"/>
            <w:vAlign w:val="center"/>
          </w:tcPr>
          <w:p w14:paraId="63B68286">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1F2DCC43">
            <w:pPr>
              <w:spacing w:line="360" w:lineRule="auto"/>
              <w:rPr>
                <w:rFonts w:ascii="宋体" w:hAnsi="宋体" w:cs="宋体"/>
                <w:kern w:val="0"/>
                <w:sz w:val="22"/>
              </w:rPr>
            </w:pPr>
          </w:p>
        </w:tc>
      </w:tr>
      <w:tr w14:paraId="5A371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31BBA42B">
            <w:pPr>
              <w:spacing w:line="360" w:lineRule="auto"/>
              <w:jc w:val="center"/>
              <w:rPr>
                <w:rFonts w:ascii="宋体" w:hAnsi="宋体" w:cs="宋体"/>
                <w:kern w:val="0"/>
                <w:sz w:val="24"/>
              </w:rPr>
            </w:pPr>
          </w:p>
        </w:tc>
        <w:tc>
          <w:tcPr>
            <w:tcW w:w="1680" w:type="dxa"/>
            <w:vMerge w:val="continue"/>
            <w:vAlign w:val="center"/>
          </w:tcPr>
          <w:p w14:paraId="4778BF68">
            <w:pPr>
              <w:spacing w:line="360" w:lineRule="auto"/>
              <w:jc w:val="center"/>
              <w:rPr>
                <w:rFonts w:ascii="宋体" w:hAnsi="宋体" w:cs="宋体"/>
                <w:kern w:val="0"/>
                <w:sz w:val="24"/>
              </w:rPr>
            </w:pPr>
          </w:p>
        </w:tc>
        <w:tc>
          <w:tcPr>
            <w:tcW w:w="2025" w:type="dxa"/>
            <w:vAlign w:val="center"/>
          </w:tcPr>
          <w:p w14:paraId="795C6564">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500" w:type="dxa"/>
            <w:vAlign w:val="center"/>
          </w:tcPr>
          <w:p w14:paraId="1F307973">
            <w:pPr>
              <w:spacing w:line="360" w:lineRule="auto"/>
              <w:jc w:val="center"/>
              <w:rPr>
                <w:rFonts w:ascii="宋体" w:hAnsi="宋体" w:cs="宋体"/>
                <w:kern w:val="0"/>
                <w:sz w:val="24"/>
              </w:rPr>
            </w:pPr>
            <w:r>
              <w:rPr>
                <w:rFonts w:hint="eastAsia" w:ascii="宋体" w:hAnsi="宋体" w:cs="宋体"/>
                <w:sz w:val="24"/>
              </w:rPr>
              <w:t>规范</w:t>
            </w:r>
          </w:p>
        </w:tc>
        <w:tc>
          <w:tcPr>
            <w:tcW w:w="1470" w:type="dxa"/>
            <w:vAlign w:val="center"/>
          </w:tcPr>
          <w:p w14:paraId="33B81F4E">
            <w:pPr>
              <w:spacing w:line="360" w:lineRule="auto"/>
              <w:jc w:val="center"/>
              <w:rPr>
                <w:rFonts w:ascii="宋体" w:hAnsi="宋体" w:cs="宋体"/>
                <w:kern w:val="0"/>
                <w:sz w:val="24"/>
              </w:rPr>
            </w:pPr>
            <w:r>
              <w:rPr>
                <w:rFonts w:hint="eastAsia" w:ascii="宋体" w:hAnsi="宋体" w:cs="宋体"/>
                <w:sz w:val="24"/>
              </w:rPr>
              <w:t>规范</w:t>
            </w:r>
          </w:p>
        </w:tc>
        <w:tc>
          <w:tcPr>
            <w:tcW w:w="1815" w:type="dxa"/>
            <w:vAlign w:val="center"/>
          </w:tcPr>
          <w:p w14:paraId="29EEEB75">
            <w:pPr>
              <w:spacing w:line="360" w:lineRule="auto"/>
              <w:jc w:val="center"/>
              <w:rPr>
                <w:rFonts w:ascii="宋体" w:hAnsi="宋体" w:cs="宋体"/>
                <w:kern w:val="0"/>
                <w:sz w:val="24"/>
              </w:rPr>
            </w:pPr>
            <w:r>
              <w:rPr>
                <w:rFonts w:hint="eastAsia" w:ascii="宋体" w:hAnsi="宋体" w:cs="宋体"/>
                <w:sz w:val="24"/>
              </w:rPr>
              <w:t>会议纪要、相关文件、台账资料</w:t>
            </w:r>
          </w:p>
        </w:tc>
        <w:tc>
          <w:tcPr>
            <w:tcW w:w="1185" w:type="dxa"/>
            <w:vAlign w:val="center"/>
          </w:tcPr>
          <w:p w14:paraId="24A3223B">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4C6C4942">
            <w:pPr>
              <w:spacing w:line="360" w:lineRule="auto"/>
              <w:rPr>
                <w:rFonts w:ascii="宋体" w:hAnsi="宋体" w:cs="宋体"/>
                <w:kern w:val="0"/>
                <w:sz w:val="22"/>
              </w:rPr>
            </w:pPr>
          </w:p>
        </w:tc>
      </w:tr>
      <w:tr w14:paraId="1470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38603BF4">
            <w:pPr>
              <w:spacing w:line="360" w:lineRule="auto"/>
              <w:jc w:val="center"/>
              <w:rPr>
                <w:rFonts w:ascii="宋体" w:hAnsi="宋体" w:cs="宋体"/>
                <w:kern w:val="0"/>
                <w:sz w:val="24"/>
              </w:rPr>
            </w:pPr>
          </w:p>
        </w:tc>
        <w:tc>
          <w:tcPr>
            <w:tcW w:w="1680" w:type="dxa"/>
            <w:vMerge w:val="continue"/>
            <w:vAlign w:val="center"/>
          </w:tcPr>
          <w:p w14:paraId="4AAD1DA4">
            <w:pPr>
              <w:spacing w:line="360" w:lineRule="auto"/>
              <w:jc w:val="center"/>
              <w:rPr>
                <w:rFonts w:ascii="宋体" w:hAnsi="宋体" w:cs="宋体"/>
                <w:kern w:val="0"/>
                <w:sz w:val="24"/>
              </w:rPr>
            </w:pPr>
          </w:p>
        </w:tc>
        <w:tc>
          <w:tcPr>
            <w:tcW w:w="2025" w:type="dxa"/>
            <w:vAlign w:val="center"/>
          </w:tcPr>
          <w:p w14:paraId="67CC4BA5">
            <w:pPr>
              <w:spacing w:line="360" w:lineRule="auto"/>
              <w:jc w:val="center"/>
              <w:rPr>
                <w:rFonts w:ascii="宋体" w:hAnsi="宋体" w:cs="宋体"/>
                <w:kern w:val="0"/>
                <w:sz w:val="24"/>
              </w:rPr>
            </w:pPr>
            <w:r>
              <w:rPr>
                <w:rFonts w:hint="eastAsia" w:ascii="宋体" w:hAnsi="宋体" w:cs="宋体"/>
                <w:sz w:val="24"/>
              </w:rPr>
              <w:t>人员管理制度健全性</w:t>
            </w:r>
          </w:p>
        </w:tc>
        <w:tc>
          <w:tcPr>
            <w:tcW w:w="1500" w:type="dxa"/>
            <w:vAlign w:val="center"/>
          </w:tcPr>
          <w:p w14:paraId="03CE8E3E">
            <w:pPr>
              <w:spacing w:line="360" w:lineRule="auto"/>
              <w:jc w:val="center"/>
              <w:rPr>
                <w:rFonts w:ascii="宋体" w:hAnsi="宋体" w:cs="宋体"/>
                <w:kern w:val="0"/>
                <w:sz w:val="24"/>
              </w:rPr>
            </w:pPr>
            <w:r>
              <w:rPr>
                <w:rFonts w:hint="eastAsia" w:ascii="宋体" w:hAnsi="宋体" w:cs="宋体"/>
                <w:sz w:val="24"/>
              </w:rPr>
              <w:t>健全</w:t>
            </w:r>
          </w:p>
        </w:tc>
        <w:tc>
          <w:tcPr>
            <w:tcW w:w="1470" w:type="dxa"/>
            <w:vAlign w:val="center"/>
          </w:tcPr>
          <w:p w14:paraId="02650D78">
            <w:pPr>
              <w:spacing w:line="360" w:lineRule="auto"/>
              <w:jc w:val="center"/>
              <w:rPr>
                <w:rFonts w:ascii="宋体" w:hAnsi="宋体" w:cs="宋体"/>
                <w:kern w:val="0"/>
                <w:sz w:val="24"/>
              </w:rPr>
            </w:pPr>
            <w:r>
              <w:rPr>
                <w:rFonts w:hint="eastAsia" w:ascii="宋体" w:hAnsi="宋体" w:cs="宋体"/>
                <w:sz w:val="24"/>
              </w:rPr>
              <w:t>健全</w:t>
            </w:r>
          </w:p>
        </w:tc>
        <w:tc>
          <w:tcPr>
            <w:tcW w:w="1815" w:type="dxa"/>
            <w:vAlign w:val="center"/>
          </w:tcPr>
          <w:p w14:paraId="13EA6E79">
            <w:pPr>
              <w:spacing w:line="360" w:lineRule="auto"/>
              <w:jc w:val="center"/>
              <w:rPr>
                <w:rFonts w:ascii="宋体" w:hAnsi="宋体" w:cs="宋体"/>
                <w:kern w:val="0"/>
                <w:sz w:val="24"/>
              </w:rPr>
            </w:pPr>
            <w:r>
              <w:rPr>
                <w:rFonts w:hint="eastAsia" w:ascii="宋体" w:hAnsi="宋体" w:cs="宋体"/>
                <w:sz w:val="24"/>
              </w:rPr>
              <w:t>人员管理相关制度</w:t>
            </w:r>
          </w:p>
        </w:tc>
        <w:tc>
          <w:tcPr>
            <w:tcW w:w="1185" w:type="dxa"/>
            <w:vAlign w:val="center"/>
          </w:tcPr>
          <w:p w14:paraId="7EBB4E22">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4065D672">
            <w:pPr>
              <w:spacing w:line="360" w:lineRule="auto"/>
              <w:rPr>
                <w:rFonts w:ascii="宋体" w:hAnsi="宋体" w:cs="宋体"/>
                <w:kern w:val="0"/>
                <w:sz w:val="22"/>
              </w:rPr>
            </w:pPr>
          </w:p>
        </w:tc>
      </w:tr>
      <w:tr w14:paraId="130E4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0D11F4D8">
            <w:pPr>
              <w:spacing w:line="360" w:lineRule="auto"/>
              <w:jc w:val="center"/>
              <w:rPr>
                <w:rFonts w:ascii="宋体" w:hAnsi="宋体" w:cs="宋体"/>
                <w:kern w:val="0"/>
                <w:sz w:val="24"/>
              </w:rPr>
            </w:pPr>
          </w:p>
        </w:tc>
        <w:tc>
          <w:tcPr>
            <w:tcW w:w="1680" w:type="dxa"/>
            <w:vMerge w:val="continue"/>
            <w:vAlign w:val="center"/>
          </w:tcPr>
          <w:p w14:paraId="15545717">
            <w:pPr>
              <w:spacing w:line="360" w:lineRule="auto"/>
              <w:jc w:val="center"/>
              <w:rPr>
                <w:rFonts w:ascii="宋体" w:hAnsi="宋体" w:cs="宋体"/>
                <w:kern w:val="0"/>
                <w:sz w:val="24"/>
              </w:rPr>
            </w:pPr>
          </w:p>
        </w:tc>
        <w:tc>
          <w:tcPr>
            <w:tcW w:w="2025" w:type="dxa"/>
            <w:vAlign w:val="center"/>
          </w:tcPr>
          <w:p w14:paraId="4CD70A02">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500" w:type="dxa"/>
            <w:vAlign w:val="center"/>
          </w:tcPr>
          <w:p w14:paraId="39D5A334">
            <w:pPr>
              <w:spacing w:line="360" w:lineRule="auto"/>
              <w:jc w:val="center"/>
              <w:rPr>
                <w:rFonts w:ascii="宋体" w:hAnsi="宋体" w:cs="宋体"/>
                <w:kern w:val="0"/>
                <w:sz w:val="24"/>
              </w:rPr>
            </w:pPr>
            <w:r>
              <w:rPr>
                <w:rFonts w:hint="eastAsia" w:ascii="宋体" w:hAnsi="宋体" w:cs="宋体"/>
                <w:sz w:val="24"/>
              </w:rPr>
              <w:t>有效</w:t>
            </w:r>
          </w:p>
        </w:tc>
        <w:tc>
          <w:tcPr>
            <w:tcW w:w="1470" w:type="dxa"/>
            <w:vAlign w:val="center"/>
          </w:tcPr>
          <w:p w14:paraId="26A3FE7A">
            <w:pPr>
              <w:spacing w:line="360" w:lineRule="auto"/>
              <w:jc w:val="center"/>
              <w:rPr>
                <w:rFonts w:ascii="宋体" w:hAnsi="宋体" w:cs="宋体"/>
                <w:kern w:val="0"/>
                <w:sz w:val="24"/>
              </w:rPr>
            </w:pPr>
            <w:r>
              <w:rPr>
                <w:rFonts w:hint="eastAsia" w:ascii="宋体" w:hAnsi="宋体" w:cs="宋体"/>
                <w:sz w:val="24"/>
              </w:rPr>
              <w:t>有效</w:t>
            </w:r>
          </w:p>
        </w:tc>
        <w:tc>
          <w:tcPr>
            <w:tcW w:w="1815" w:type="dxa"/>
            <w:vAlign w:val="center"/>
          </w:tcPr>
          <w:p w14:paraId="0A324BE1">
            <w:pPr>
              <w:spacing w:line="360" w:lineRule="auto"/>
              <w:jc w:val="center"/>
              <w:rPr>
                <w:rFonts w:ascii="宋体" w:hAnsi="宋体" w:cs="宋体"/>
                <w:kern w:val="0"/>
                <w:sz w:val="24"/>
              </w:rPr>
            </w:pPr>
            <w:r>
              <w:rPr>
                <w:rFonts w:hint="eastAsia" w:ascii="宋体" w:hAnsi="宋体" w:cs="宋体"/>
                <w:sz w:val="24"/>
              </w:rPr>
              <w:t>制度管理台账</w:t>
            </w:r>
          </w:p>
        </w:tc>
        <w:tc>
          <w:tcPr>
            <w:tcW w:w="1185" w:type="dxa"/>
            <w:vAlign w:val="center"/>
          </w:tcPr>
          <w:p w14:paraId="450AFF33">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14256C3F">
            <w:pPr>
              <w:spacing w:line="360" w:lineRule="auto"/>
              <w:rPr>
                <w:rFonts w:ascii="宋体" w:hAnsi="宋体" w:cs="宋体"/>
                <w:kern w:val="0"/>
                <w:sz w:val="22"/>
              </w:rPr>
            </w:pPr>
          </w:p>
        </w:tc>
      </w:tr>
      <w:tr w14:paraId="3BCC7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49C2CAEF">
            <w:pPr>
              <w:spacing w:line="360" w:lineRule="auto"/>
              <w:jc w:val="center"/>
              <w:rPr>
                <w:rFonts w:ascii="宋体" w:hAnsi="宋体" w:cs="宋体"/>
                <w:kern w:val="0"/>
                <w:sz w:val="24"/>
              </w:rPr>
            </w:pPr>
          </w:p>
        </w:tc>
        <w:tc>
          <w:tcPr>
            <w:tcW w:w="1680" w:type="dxa"/>
            <w:vMerge w:val="continue"/>
            <w:vAlign w:val="center"/>
          </w:tcPr>
          <w:p w14:paraId="3FDA2772">
            <w:pPr>
              <w:spacing w:line="360" w:lineRule="auto"/>
              <w:jc w:val="center"/>
              <w:rPr>
                <w:rFonts w:ascii="宋体" w:hAnsi="宋体" w:cs="宋体"/>
                <w:kern w:val="0"/>
                <w:sz w:val="24"/>
              </w:rPr>
            </w:pPr>
          </w:p>
        </w:tc>
        <w:tc>
          <w:tcPr>
            <w:tcW w:w="2025" w:type="dxa"/>
            <w:vAlign w:val="center"/>
          </w:tcPr>
          <w:p w14:paraId="378E7EAF">
            <w:pPr>
              <w:spacing w:line="360" w:lineRule="auto"/>
              <w:jc w:val="center"/>
              <w:rPr>
                <w:rFonts w:ascii="宋体" w:hAnsi="宋体" w:cs="宋体"/>
                <w:kern w:val="0"/>
                <w:sz w:val="24"/>
              </w:rPr>
            </w:pPr>
            <w:r>
              <w:rPr>
                <w:rFonts w:hint="eastAsia" w:ascii="宋体" w:hAnsi="宋体" w:cs="宋体"/>
                <w:sz w:val="24"/>
              </w:rPr>
              <w:t>在职人员控制率</w:t>
            </w:r>
          </w:p>
        </w:tc>
        <w:tc>
          <w:tcPr>
            <w:tcW w:w="1500" w:type="dxa"/>
            <w:vAlign w:val="center"/>
          </w:tcPr>
          <w:p w14:paraId="02C85C6A">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52AD7E6F">
            <w:pPr>
              <w:spacing w:line="360" w:lineRule="auto"/>
              <w:jc w:val="center"/>
              <w:rPr>
                <w:rFonts w:ascii="宋体" w:hAnsi="宋体" w:cs="宋体"/>
                <w:kern w:val="0"/>
                <w:sz w:val="24"/>
              </w:rPr>
            </w:pPr>
            <w:r>
              <w:rPr>
                <w:rFonts w:hint="eastAsia" w:ascii="宋体" w:hAnsi="宋体" w:cs="宋体"/>
                <w:sz w:val="24"/>
              </w:rPr>
              <w:t>100%</w:t>
            </w:r>
          </w:p>
        </w:tc>
        <w:tc>
          <w:tcPr>
            <w:tcW w:w="1815" w:type="dxa"/>
            <w:vAlign w:val="center"/>
          </w:tcPr>
          <w:p w14:paraId="74804763">
            <w:pPr>
              <w:spacing w:line="360" w:lineRule="auto"/>
              <w:jc w:val="center"/>
              <w:rPr>
                <w:rFonts w:ascii="宋体" w:hAnsi="宋体" w:cs="宋体"/>
                <w:kern w:val="0"/>
                <w:sz w:val="24"/>
              </w:rPr>
            </w:pPr>
            <w:r>
              <w:rPr>
                <w:rFonts w:hint="eastAsia" w:ascii="宋体" w:hAnsi="宋体" w:cs="宋体"/>
                <w:sz w:val="24"/>
              </w:rPr>
              <w:t>编办批复文件等</w:t>
            </w:r>
          </w:p>
        </w:tc>
        <w:tc>
          <w:tcPr>
            <w:tcW w:w="1185" w:type="dxa"/>
            <w:vAlign w:val="center"/>
          </w:tcPr>
          <w:p w14:paraId="0ADC6BDF">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5757CD81">
            <w:pPr>
              <w:spacing w:line="360" w:lineRule="auto"/>
              <w:rPr>
                <w:rFonts w:ascii="宋体" w:hAnsi="宋体" w:cs="宋体"/>
                <w:kern w:val="0"/>
                <w:sz w:val="22"/>
              </w:rPr>
            </w:pPr>
          </w:p>
        </w:tc>
      </w:tr>
      <w:tr w14:paraId="3EC72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2F1F6C09">
            <w:pPr>
              <w:spacing w:line="360" w:lineRule="auto"/>
              <w:jc w:val="center"/>
              <w:rPr>
                <w:rFonts w:ascii="宋体" w:hAnsi="宋体" w:cs="宋体"/>
                <w:kern w:val="0"/>
                <w:sz w:val="24"/>
              </w:rPr>
            </w:pPr>
          </w:p>
        </w:tc>
        <w:tc>
          <w:tcPr>
            <w:tcW w:w="1680" w:type="dxa"/>
            <w:vMerge w:val="continue"/>
            <w:vAlign w:val="center"/>
          </w:tcPr>
          <w:p w14:paraId="406A1664">
            <w:pPr>
              <w:spacing w:line="360" w:lineRule="auto"/>
              <w:jc w:val="center"/>
              <w:rPr>
                <w:rFonts w:ascii="宋体" w:hAnsi="宋体" w:cs="宋体"/>
                <w:kern w:val="0"/>
                <w:sz w:val="24"/>
              </w:rPr>
            </w:pPr>
          </w:p>
        </w:tc>
        <w:tc>
          <w:tcPr>
            <w:tcW w:w="2025" w:type="dxa"/>
            <w:vAlign w:val="center"/>
          </w:tcPr>
          <w:p w14:paraId="67A0D810">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500" w:type="dxa"/>
            <w:vAlign w:val="center"/>
          </w:tcPr>
          <w:p w14:paraId="61D5F9B7">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5A68A14E">
            <w:pPr>
              <w:spacing w:line="360" w:lineRule="auto"/>
              <w:jc w:val="center"/>
              <w:rPr>
                <w:rFonts w:ascii="宋体" w:hAnsi="宋体" w:cs="宋体"/>
                <w:kern w:val="0"/>
                <w:sz w:val="24"/>
              </w:rPr>
            </w:pPr>
            <w:r>
              <w:rPr>
                <w:rFonts w:hint="eastAsia" w:ascii="宋体" w:hAnsi="宋体" w:cs="宋体"/>
                <w:sz w:val="24"/>
              </w:rPr>
              <w:t>100%</w:t>
            </w:r>
          </w:p>
        </w:tc>
        <w:tc>
          <w:tcPr>
            <w:tcW w:w="1815" w:type="dxa"/>
            <w:vAlign w:val="center"/>
          </w:tcPr>
          <w:p w14:paraId="5B336F0A">
            <w:pPr>
              <w:spacing w:line="360" w:lineRule="auto"/>
              <w:jc w:val="center"/>
              <w:rPr>
                <w:rFonts w:ascii="宋体" w:hAnsi="宋体" w:cs="宋体"/>
                <w:kern w:val="0"/>
                <w:sz w:val="24"/>
              </w:rPr>
            </w:pPr>
            <w:r>
              <w:rPr>
                <w:rFonts w:hint="eastAsia" w:ascii="宋体" w:hAnsi="宋体" w:cs="宋体"/>
                <w:sz w:val="24"/>
              </w:rPr>
              <w:t>2024年党建工作考核第一等次</w:t>
            </w:r>
          </w:p>
        </w:tc>
        <w:tc>
          <w:tcPr>
            <w:tcW w:w="1185" w:type="dxa"/>
            <w:vAlign w:val="center"/>
          </w:tcPr>
          <w:p w14:paraId="5119662C">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4FD80324">
            <w:pPr>
              <w:spacing w:line="360" w:lineRule="auto"/>
              <w:rPr>
                <w:rFonts w:ascii="宋体" w:hAnsi="宋体" w:cs="宋体"/>
                <w:kern w:val="0"/>
                <w:sz w:val="22"/>
              </w:rPr>
            </w:pPr>
          </w:p>
        </w:tc>
      </w:tr>
      <w:tr w14:paraId="176ED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7F2740B6">
            <w:pPr>
              <w:spacing w:line="360" w:lineRule="auto"/>
              <w:jc w:val="center"/>
              <w:rPr>
                <w:rFonts w:ascii="宋体" w:hAnsi="宋体" w:cs="宋体"/>
                <w:kern w:val="0"/>
                <w:sz w:val="24"/>
              </w:rPr>
            </w:pPr>
          </w:p>
        </w:tc>
        <w:tc>
          <w:tcPr>
            <w:tcW w:w="1680" w:type="dxa"/>
            <w:vMerge w:val="continue"/>
            <w:vAlign w:val="center"/>
          </w:tcPr>
          <w:p w14:paraId="705410F2">
            <w:pPr>
              <w:spacing w:line="360" w:lineRule="auto"/>
              <w:jc w:val="center"/>
              <w:rPr>
                <w:rFonts w:ascii="宋体" w:hAnsi="宋体" w:cs="宋体"/>
                <w:kern w:val="0"/>
                <w:sz w:val="24"/>
              </w:rPr>
            </w:pPr>
          </w:p>
        </w:tc>
        <w:tc>
          <w:tcPr>
            <w:tcW w:w="2025" w:type="dxa"/>
            <w:vAlign w:val="center"/>
          </w:tcPr>
          <w:p w14:paraId="10EA078D">
            <w:pPr>
              <w:spacing w:line="360" w:lineRule="auto"/>
              <w:jc w:val="center"/>
              <w:rPr>
                <w:rFonts w:ascii="宋体" w:hAnsi="宋体" w:cs="宋体"/>
                <w:kern w:val="0"/>
                <w:sz w:val="24"/>
              </w:rPr>
            </w:pPr>
            <w:r>
              <w:rPr>
                <w:rFonts w:hint="eastAsia" w:ascii="宋体" w:hAnsi="宋体" w:cs="宋体"/>
                <w:sz w:val="24"/>
              </w:rPr>
              <w:t>纪检监察工作有效性</w:t>
            </w:r>
          </w:p>
        </w:tc>
        <w:tc>
          <w:tcPr>
            <w:tcW w:w="1500" w:type="dxa"/>
            <w:vAlign w:val="center"/>
          </w:tcPr>
          <w:p w14:paraId="3421FA95">
            <w:pPr>
              <w:spacing w:line="360" w:lineRule="auto"/>
              <w:jc w:val="center"/>
              <w:rPr>
                <w:rFonts w:ascii="宋体" w:hAnsi="宋体" w:cs="宋体"/>
                <w:kern w:val="0"/>
                <w:sz w:val="24"/>
              </w:rPr>
            </w:pPr>
            <w:r>
              <w:rPr>
                <w:rFonts w:hint="eastAsia" w:ascii="宋体" w:hAnsi="宋体" w:cs="宋体"/>
                <w:sz w:val="24"/>
              </w:rPr>
              <w:t>有效</w:t>
            </w:r>
          </w:p>
        </w:tc>
        <w:tc>
          <w:tcPr>
            <w:tcW w:w="1470" w:type="dxa"/>
            <w:vAlign w:val="center"/>
          </w:tcPr>
          <w:p w14:paraId="3FC62FDD">
            <w:pPr>
              <w:spacing w:line="360" w:lineRule="auto"/>
              <w:jc w:val="center"/>
              <w:rPr>
                <w:rFonts w:ascii="宋体" w:hAnsi="宋体" w:cs="宋体"/>
                <w:kern w:val="0"/>
                <w:sz w:val="24"/>
              </w:rPr>
            </w:pPr>
            <w:r>
              <w:rPr>
                <w:rFonts w:hint="eastAsia" w:ascii="宋体" w:hAnsi="宋体" w:cs="宋体"/>
                <w:sz w:val="24"/>
              </w:rPr>
              <w:t>有效</w:t>
            </w:r>
          </w:p>
        </w:tc>
        <w:tc>
          <w:tcPr>
            <w:tcW w:w="1815" w:type="dxa"/>
            <w:vAlign w:val="center"/>
          </w:tcPr>
          <w:p w14:paraId="2A554E5F">
            <w:pPr>
              <w:spacing w:line="360" w:lineRule="auto"/>
              <w:jc w:val="center"/>
              <w:rPr>
                <w:rFonts w:ascii="宋体" w:hAnsi="宋体" w:cs="宋体"/>
                <w:kern w:val="0"/>
                <w:sz w:val="24"/>
              </w:rPr>
            </w:pPr>
            <w:r>
              <w:rPr>
                <w:rFonts w:hint="eastAsia" w:ascii="宋体" w:hAnsi="宋体" w:cs="宋体"/>
                <w:sz w:val="24"/>
              </w:rPr>
              <w:t>八个一廉政教育方案</w:t>
            </w:r>
          </w:p>
        </w:tc>
        <w:tc>
          <w:tcPr>
            <w:tcW w:w="1185" w:type="dxa"/>
            <w:vAlign w:val="center"/>
          </w:tcPr>
          <w:p w14:paraId="6AD0BEE0">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767ECCD1">
            <w:pPr>
              <w:spacing w:line="360" w:lineRule="auto"/>
              <w:rPr>
                <w:rFonts w:ascii="宋体" w:hAnsi="宋体" w:cs="宋体"/>
                <w:kern w:val="0"/>
                <w:sz w:val="22"/>
              </w:rPr>
            </w:pPr>
          </w:p>
        </w:tc>
      </w:tr>
      <w:tr w14:paraId="3CD29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4C3BE18A">
            <w:pPr>
              <w:spacing w:line="360" w:lineRule="auto"/>
              <w:jc w:val="center"/>
              <w:rPr>
                <w:rFonts w:ascii="宋体" w:hAnsi="宋体" w:cs="宋体"/>
                <w:kern w:val="0"/>
                <w:sz w:val="24"/>
              </w:rPr>
            </w:pPr>
          </w:p>
        </w:tc>
        <w:tc>
          <w:tcPr>
            <w:tcW w:w="1680" w:type="dxa"/>
            <w:vMerge w:val="continue"/>
            <w:vAlign w:val="center"/>
          </w:tcPr>
          <w:p w14:paraId="19417879">
            <w:pPr>
              <w:spacing w:line="360" w:lineRule="auto"/>
              <w:jc w:val="center"/>
              <w:rPr>
                <w:rFonts w:ascii="宋体" w:hAnsi="宋体" w:cs="宋体"/>
                <w:kern w:val="0"/>
                <w:sz w:val="24"/>
              </w:rPr>
            </w:pPr>
          </w:p>
        </w:tc>
        <w:tc>
          <w:tcPr>
            <w:tcW w:w="2025" w:type="dxa"/>
            <w:vAlign w:val="center"/>
          </w:tcPr>
          <w:p w14:paraId="3306EBEE">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500" w:type="dxa"/>
            <w:vAlign w:val="center"/>
          </w:tcPr>
          <w:p w14:paraId="33025C66">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5C15F156">
            <w:pPr>
              <w:spacing w:line="360" w:lineRule="auto"/>
              <w:jc w:val="center"/>
              <w:rPr>
                <w:rFonts w:ascii="宋体" w:hAnsi="宋体" w:cs="宋体"/>
                <w:kern w:val="0"/>
                <w:sz w:val="24"/>
              </w:rPr>
            </w:pPr>
            <w:r>
              <w:rPr>
                <w:rFonts w:hint="eastAsia" w:ascii="宋体" w:hAnsi="宋体" w:cs="宋体"/>
                <w:sz w:val="24"/>
              </w:rPr>
              <w:t>100%</w:t>
            </w:r>
          </w:p>
        </w:tc>
        <w:tc>
          <w:tcPr>
            <w:tcW w:w="1815" w:type="dxa"/>
            <w:vAlign w:val="center"/>
          </w:tcPr>
          <w:p w14:paraId="41910DC1">
            <w:pPr>
              <w:spacing w:line="360" w:lineRule="auto"/>
              <w:jc w:val="center"/>
              <w:rPr>
                <w:rFonts w:ascii="宋体" w:hAnsi="宋体" w:cs="宋体"/>
                <w:kern w:val="0"/>
                <w:sz w:val="24"/>
              </w:rPr>
            </w:pPr>
            <w:r>
              <w:rPr>
                <w:rFonts w:hint="eastAsia" w:ascii="宋体" w:hAnsi="宋体" w:cs="宋体"/>
                <w:sz w:val="24"/>
              </w:rPr>
              <w:t>工作总结</w:t>
            </w:r>
          </w:p>
        </w:tc>
        <w:tc>
          <w:tcPr>
            <w:tcW w:w="1185" w:type="dxa"/>
            <w:vAlign w:val="center"/>
          </w:tcPr>
          <w:p w14:paraId="6E93F7E8">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1711D449">
            <w:pPr>
              <w:spacing w:line="360" w:lineRule="auto"/>
              <w:rPr>
                <w:rFonts w:ascii="宋体" w:hAnsi="宋体" w:cs="宋体"/>
                <w:kern w:val="0"/>
                <w:sz w:val="22"/>
              </w:rPr>
            </w:pPr>
          </w:p>
        </w:tc>
      </w:tr>
      <w:tr w14:paraId="5E508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0292346D">
            <w:pPr>
              <w:spacing w:line="360" w:lineRule="auto"/>
              <w:jc w:val="center"/>
              <w:rPr>
                <w:rFonts w:ascii="宋体" w:hAnsi="宋体" w:cs="宋体"/>
                <w:kern w:val="0"/>
                <w:sz w:val="24"/>
              </w:rPr>
            </w:pPr>
          </w:p>
        </w:tc>
        <w:tc>
          <w:tcPr>
            <w:tcW w:w="1680" w:type="dxa"/>
            <w:vMerge w:val="continue"/>
            <w:vAlign w:val="center"/>
          </w:tcPr>
          <w:p w14:paraId="413BC2D4">
            <w:pPr>
              <w:spacing w:line="360" w:lineRule="auto"/>
              <w:jc w:val="center"/>
              <w:rPr>
                <w:rFonts w:ascii="宋体" w:hAnsi="宋体" w:cs="宋体"/>
                <w:kern w:val="0"/>
                <w:sz w:val="24"/>
              </w:rPr>
            </w:pPr>
          </w:p>
        </w:tc>
        <w:tc>
          <w:tcPr>
            <w:tcW w:w="2025" w:type="dxa"/>
            <w:vAlign w:val="center"/>
          </w:tcPr>
          <w:p w14:paraId="72D56E1D">
            <w:pPr>
              <w:spacing w:line="360" w:lineRule="auto"/>
              <w:jc w:val="center"/>
              <w:rPr>
                <w:rFonts w:ascii="宋体" w:hAnsi="宋体" w:cs="宋体"/>
                <w:kern w:val="0"/>
                <w:sz w:val="24"/>
              </w:rPr>
            </w:pPr>
            <w:r>
              <w:rPr>
                <w:rFonts w:hint="eastAsia" w:ascii="宋体" w:hAnsi="宋体" w:cs="宋体"/>
                <w:sz w:val="24"/>
              </w:rPr>
              <w:t>预算偏差率</w:t>
            </w:r>
          </w:p>
        </w:tc>
        <w:tc>
          <w:tcPr>
            <w:tcW w:w="1500" w:type="dxa"/>
            <w:vAlign w:val="center"/>
          </w:tcPr>
          <w:p w14:paraId="434DC8F3">
            <w:pPr>
              <w:spacing w:line="360" w:lineRule="auto"/>
              <w:jc w:val="center"/>
              <w:rPr>
                <w:rFonts w:ascii="宋体" w:hAnsi="宋体" w:cs="宋体"/>
                <w:kern w:val="0"/>
                <w:sz w:val="24"/>
              </w:rPr>
            </w:pPr>
            <w:r>
              <w:rPr>
                <w:rFonts w:hint="eastAsia" w:ascii="宋体" w:hAnsi="宋体" w:cs="宋体"/>
                <w:sz w:val="24"/>
              </w:rPr>
              <w:t>&lt;=10%</w:t>
            </w:r>
          </w:p>
        </w:tc>
        <w:tc>
          <w:tcPr>
            <w:tcW w:w="1470" w:type="dxa"/>
            <w:vAlign w:val="center"/>
          </w:tcPr>
          <w:p w14:paraId="40914A81">
            <w:pPr>
              <w:spacing w:line="360" w:lineRule="auto"/>
              <w:jc w:val="center"/>
              <w:rPr>
                <w:rFonts w:ascii="宋体" w:hAnsi="宋体" w:cs="宋体"/>
                <w:kern w:val="0"/>
                <w:sz w:val="24"/>
              </w:rPr>
            </w:pPr>
            <w:r>
              <w:rPr>
                <w:rFonts w:hint="eastAsia" w:ascii="宋体" w:hAnsi="宋体" w:cs="宋体"/>
                <w:sz w:val="24"/>
              </w:rPr>
              <w:t>15.03%</w:t>
            </w:r>
          </w:p>
        </w:tc>
        <w:tc>
          <w:tcPr>
            <w:tcW w:w="1815" w:type="dxa"/>
            <w:vAlign w:val="center"/>
          </w:tcPr>
          <w:p w14:paraId="0225BD07">
            <w:pPr>
              <w:spacing w:line="360" w:lineRule="auto"/>
              <w:jc w:val="center"/>
              <w:rPr>
                <w:rFonts w:ascii="宋体" w:hAnsi="宋体" w:cs="宋体"/>
                <w:kern w:val="0"/>
                <w:sz w:val="24"/>
              </w:rPr>
            </w:pPr>
            <w:r>
              <w:rPr>
                <w:rFonts w:hint="eastAsia" w:ascii="宋体" w:hAnsi="宋体" w:cs="宋体"/>
                <w:sz w:val="24"/>
              </w:rPr>
              <w:t>省预算管理一体化系统</w:t>
            </w:r>
          </w:p>
        </w:tc>
        <w:tc>
          <w:tcPr>
            <w:tcW w:w="1185" w:type="dxa"/>
            <w:vAlign w:val="center"/>
          </w:tcPr>
          <w:p w14:paraId="29C8FF52">
            <w:pPr>
              <w:spacing w:line="360" w:lineRule="auto"/>
              <w:jc w:val="center"/>
              <w:rPr>
                <w:rFonts w:ascii="宋体" w:hAnsi="宋体" w:cs="宋体"/>
                <w:kern w:val="0"/>
                <w:sz w:val="24"/>
              </w:rPr>
            </w:pPr>
            <w:r>
              <w:rPr>
                <w:rFonts w:hint="eastAsia" w:ascii="宋体" w:hAnsi="宋体" w:cs="宋体"/>
                <w:sz w:val="24"/>
              </w:rPr>
              <w:t>50.30%</w:t>
            </w:r>
          </w:p>
        </w:tc>
        <w:tc>
          <w:tcPr>
            <w:tcW w:w="3248" w:type="dxa"/>
          </w:tcPr>
          <w:p w14:paraId="4A930EE0">
            <w:pPr>
              <w:spacing w:line="360" w:lineRule="auto"/>
              <w:rPr>
                <w:rFonts w:ascii="宋体" w:hAnsi="宋体" w:cs="宋体"/>
                <w:kern w:val="0"/>
                <w:sz w:val="22"/>
              </w:rPr>
            </w:pPr>
            <w:r>
              <w:rPr>
                <w:rFonts w:hint="eastAsia" w:ascii="宋体" w:hAnsi="宋体" w:cs="宋体"/>
                <w:sz w:val="24"/>
              </w:rPr>
              <w:t>主要是因政策调整，项目资金未能全部支出，年末由财政全部收回。</w:t>
            </w:r>
          </w:p>
        </w:tc>
      </w:tr>
      <w:tr w14:paraId="0793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75EF4C11">
            <w:pPr>
              <w:spacing w:line="360" w:lineRule="auto"/>
              <w:jc w:val="center"/>
              <w:rPr>
                <w:rFonts w:ascii="宋体" w:hAnsi="宋体" w:cs="宋体"/>
                <w:kern w:val="0"/>
                <w:sz w:val="24"/>
              </w:rPr>
            </w:pPr>
          </w:p>
        </w:tc>
        <w:tc>
          <w:tcPr>
            <w:tcW w:w="1680" w:type="dxa"/>
            <w:vMerge w:val="continue"/>
            <w:vAlign w:val="center"/>
          </w:tcPr>
          <w:p w14:paraId="20611DAA">
            <w:pPr>
              <w:spacing w:line="360" w:lineRule="auto"/>
              <w:jc w:val="center"/>
              <w:rPr>
                <w:rFonts w:ascii="宋体" w:hAnsi="宋体" w:cs="宋体"/>
                <w:kern w:val="0"/>
                <w:sz w:val="24"/>
              </w:rPr>
            </w:pPr>
          </w:p>
        </w:tc>
        <w:tc>
          <w:tcPr>
            <w:tcW w:w="2025" w:type="dxa"/>
            <w:vAlign w:val="center"/>
          </w:tcPr>
          <w:p w14:paraId="79F40235">
            <w:pPr>
              <w:spacing w:line="360" w:lineRule="auto"/>
              <w:jc w:val="center"/>
              <w:rPr>
                <w:rFonts w:ascii="宋体" w:hAnsi="宋体" w:cs="宋体"/>
                <w:kern w:val="0"/>
                <w:sz w:val="24"/>
              </w:rPr>
            </w:pPr>
            <w:r>
              <w:rPr>
                <w:rFonts w:hint="eastAsia" w:ascii="宋体" w:hAnsi="宋体" w:cs="宋体"/>
                <w:sz w:val="24"/>
              </w:rPr>
              <w:t>预算执行率</w:t>
            </w:r>
          </w:p>
        </w:tc>
        <w:tc>
          <w:tcPr>
            <w:tcW w:w="1500" w:type="dxa"/>
            <w:vAlign w:val="center"/>
          </w:tcPr>
          <w:p w14:paraId="63037B41">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162E792C">
            <w:pPr>
              <w:spacing w:line="360" w:lineRule="auto"/>
              <w:jc w:val="center"/>
              <w:rPr>
                <w:rFonts w:ascii="宋体" w:hAnsi="宋体" w:cs="宋体"/>
                <w:kern w:val="0"/>
                <w:sz w:val="24"/>
              </w:rPr>
            </w:pPr>
            <w:r>
              <w:rPr>
                <w:rFonts w:hint="eastAsia" w:ascii="宋体" w:hAnsi="宋体" w:cs="宋体"/>
                <w:sz w:val="24"/>
              </w:rPr>
              <w:t>84.97%</w:t>
            </w:r>
          </w:p>
        </w:tc>
        <w:tc>
          <w:tcPr>
            <w:tcW w:w="1815" w:type="dxa"/>
            <w:vAlign w:val="center"/>
          </w:tcPr>
          <w:p w14:paraId="38D621D9">
            <w:pPr>
              <w:spacing w:line="360" w:lineRule="auto"/>
              <w:jc w:val="center"/>
              <w:rPr>
                <w:rFonts w:ascii="宋体" w:hAnsi="宋体" w:cs="宋体"/>
                <w:kern w:val="0"/>
                <w:sz w:val="24"/>
              </w:rPr>
            </w:pPr>
            <w:r>
              <w:rPr>
                <w:rFonts w:hint="eastAsia" w:ascii="宋体" w:hAnsi="宋体" w:cs="宋体"/>
                <w:sz w:val="24"/>
              </w:rPr>
              <w:t>省预算管理一体化系统</w:t>
            </w:r>
          </w:p>
        </w:tc>
        <w:tc>
          <w:tcPr>
            <w:tcW w:w="1185" w:type="dxa"/>
            <w:vAlign w:val="center"/>
          </w:tcPr>
          <w:p w14:paraId="779AFE81">
            <w:pPr>
              <w:spacing w:line="360" w:lineRule="auto"/>
              <w:jc w:val="center"/>
              <w:rPr>
                <w:rFonts w:ascii="宋体" w:hAnsi="宋体" w:cs="宋体"/>
                <w:kern w:val="0"/>
                <w:sz w:val="24"/>
              </w:rPr>
            </w:pPr>
            <w:r>
              <w:rPr>
                <w:rFonts w:hint="eastAsia" w:ascii="宋体" w:hAnsi="宋体" w:cs="宋体"/>
                <w:sz w:val="24"/>
              </w:rPr>
              <w:t>-15.03%</w:t>
            </w:r>
          </w:p>
        </w:tc>
        <w:tc>
          <w:tcPr>
            <w:tcW w:w="3248" w:type="dxa"/>
          </w:tcPr>
          <w:p w14:paraId="6C1D26B9">
            <w:pPr>
              <w:spacing w:line="360" w:lineRule="auto"/>
              <w:rPr>
                <w:rFonts w:ascii="宋体" w:hAnsi="宋体" w:cs="宋体"/>
                <w:kern w:val="0"/>
                <w:sz w:val="22"/>
              </w:rPr>
            </w:pPr>
            <w:r>
              <w:rPr>
                <w:rFonts w:hint="eastAsia" w:ascii="宋体" w:hAnsi="宋体" w:cs="宋体"/>
                <w:sz w:val="24"/>
              </w:rPr>
              <w:t>主要是因政策调整，项目资金未能全部支出，年末由财政全部收回。</w:t>
            </w:r>
          </w:p>
        </w:tc>
      </w:tr>
      <w:tr w14:paraId="76916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1BCAEC5D">
            <w:pPr>
              <w:spacing w:line="360" w:lineRule="auto"/>
              <w:jc w:val="center"/>
              <w:rPr>
                <w:rFonts w:ascii="宋体" w:hAnsi="宋体" w:cs="宋体"/>
                <w:kern w:val="0"/>
                <w:sz w:val="24"/>
              </w:rPr>
            </w:pPr>
          </w:p>
        </w:tc>
        <w:tc>
          <w:tcPr>
            <w:tcW w:w="1680" w:type="dxa"/>
            <w:vMerge w:val="continue"/>
            <w:vAlign w:val="center"/>
          </w:tcPr>
          <w:p w14:paraId="7BA7625C">
            <w:pPr>
              <w:spacing w:line="360" w:lineRule="auto"/>
              <w:jc w:val="center"/>
              <w:rPr>
                <w:rFonts w:ascii="宋体" w:hAnsi="宋体" w:cs="宋体"/>
                <w:kern w:val="0"/>
                <w:sz w:val="24"/>
              </w:rPr>
            </w:pPr>
          </w:p>
        </w:tc>
        <w:tc>
          <w:tcPr>
            <w:tcW w:w="2025" w:type="dxa"/>
            <w:vAlign w:val="center"/>
          </w:tcPr>
          <w:p w14:paraId="3396E0BD">
            <w:pPr>
              <w:spacing w:line="360" w:lineRule="auto"/>
              <w:jc w:val="center"/>
              <w:rPr>
                <w:rFonts w:ascii="宋体" w:hAnsi="宋体" w:cs="宋体"/>
                <w:kern w:val="0"/>
                <w:sz w:val="24"/>
              </w:rPr>
            </w:pPr>
            <w:r>
              <w:rPr>
                <w:rFonts w:hint="eastAsia" w:ascii="宋体" w:hAnsi="宋体" w:cs="宋体"/>
                <w:sz w:val="24"/>
              </w:rPr>
              <w:t>非税收入预算完成率</w:t>
            </w:r>
          </w:p>
        </w:tc>
        <w:tc>
          <w:tcPr>
            <w:tcW w:w="1500" w:type="dxa"/>
            <w:vAlign w:val="center"/>
          </w:tcPr>
          <w:p w14:paraId="6CB6A363">
            <w:pPr>
              <w:spacing w:line="360" w:lineRule="auto"/>
              <w:jc w:val="center"/>
              <w:rPr>
                <w:rFonts w:ascii="宋体" w:hAnsi="宋体" w:cs="宋体"/>
                <w:kern w:val="0"/>
                <w:sz w:val="24"/>
              </w:rPr>
            </w:pPr>
            <w:r>
              <w:rPr>
                <w:rFonts w:hint="eastAsia" w:ascii="宋体" w:hAnsi="宋体" w:cs="宋体"/>
                <w:sz w:val="24"/>
              </w:rPr>
              <w:t>&gt;=100%</w:t>
            </w:r>
          </w:p>
        </w:tc>
        <w:tc>
          <w:tcPr>
            <w:tcW w:w="1470" w:type="dxa"/>
            <w:vAlign w:val="center"/>
          </w:tcPr>
          <w:p w14:paraId="20C022E5">
            <w:pPr>
              <w:spacing w:line="360" w:lineRule="auto"/>
              <w:jc w:val="center"/>
              <w:rPr>
                <w:rFonts w:ascii="宋体" w:hAnsi="宋体" w:cs="宋体"/>
                <w:kern w:val="0"/>
                <w:sz w:val="24"/>
              </w:rPr>
            </w:pPr>
            <w:r>
              <w:rPr>
                <w:rFonts w:hint="eastAsia" w:ascii="宋体" w:hAnsi="宋体" w:cs="宋体"/>
                <w:sz w:val="24"/>
              </w:rPr>
              <w:t>114.87%</w:t>
            </w:r>
          </w:p>
        </w:tc>
        <w:tc>
          <w:tcPr>
            <w:tcW w:w="1815" w:type="dxa"/>
            <w:vAlign w:val="center"/>
          </w:tcPr>
          <w:p w14:paraId="7032CC88">
            <w:pPr>
              <w:spacing w:line="360" w:lineRule="auto"/>
              <w:jc w:val="center"/>
              <w:rPr>
                <w:rFonts w:ascii="宋体" w:hAnsi="宋体" w:cs="宋体"/>
                <w:kern w:val="0"/>
                <w:sz w:val="24"/>
              </w:rPr>
            </w:pPr>
            <w:r>
              <w:rPr>
                <w:rFonts w:hint="eastAsia" w:ascii="宋体" w:hAnsi="宋体" w:cs="宋体"/>
                <w:sz w:val="24"/>
              </w:rPr>
              <w:t>市非税管理系统</w:t>
            </w:r>
          </w:p>
        </w:tc>
        <w:tc>
          <w:tcPr>
            <w:tcW w:w="1185" w:type="dxa"/>
            <w:vAlign w:val="center"/>
          </w:tcPr>
          <w:p w14:paraId="7DCFB5EB">
            <w:pPr>
              <w:spacing w:line="360" w:lineRule="auto"/>
              <w:jc w:val="center"/>
              <w:rPr>
                <w:rFonts w:ascii="宋体" w:hAnsi="宋体" w:cs="宋体"/>
                <w:kern w:val="0"/>
                <w:sz w:val="24"/>
              </w:rPr>
            </w:pPr>
            <w:r>
              <w:rPr>
                <w:rFonts w:hint="eastAsia" w:ascii="宋体" w:hAnsi="宋体" w:cs="宋体"/>
                <w:sz w:val="24"/>
              </w:rPr>
              <w:t>14.87%</w:t>
            </w:r>
          </w:p>
        </w:tc>
        <w:tc>
          <w:tcPr>
            <w:tcW w:w="3248" w:type="dxa"/>
          </w:tcPr>
          <w:p w14:paraId="4C88216F">
            <w:pPr>
              <w:spacing w:line="360" w:lineRule="auto"/>
              <w:rPr>
                <w:rFonts w:ascii="宋体" w:hAnsi="宋体" w:cs="宋体"/>
                <w:kern w:val="0"/>
                <w:sz w:val="22"/>
              </w:rPr>
            </w:pPr>
          </w:p>
        </w:tc>
      </w:tr>
      <w:tr w14:paraId="3E9D6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675E05E9">
            <w:pPr>
              <w:spacing w:line="360" w:lineRule="auto"/>
              <w:jc w:val="center"/>
              <w:rPr>
                <w:rFonts w:ascii="宋体" w:hAnsi="宋体" w:cs="宋体"/>
                <w:kern w:val="0"/>
                <w:sz w:val="24"/>
              </w:rPr>
            </w:pPr>
          </w:p>
        </w:tc>
        <w:tc>
          <w:tcPr>
            <w:tcW w:w="1680" w:type="dxa"/>
            <w:vMerge w:val="continue"/>
            <w:vAlign w:val="center"/>
          </w:tcPr>
          <w:p w14:paraId="6F1E6962">
            <w:pPr>
              <w:spacing w:line="360" w:lineRule="auto"/>
              <w:jc w:val="center"/>
              <w:rPr>
                <w:rFonts w:ascii="宋体" w:hAnsi="宋体" w:cs="宋体"/>
                <w:kern w:val="0"/>
                <w:sz w:val="24"/>
              </w:rPr>
            </w:pPr>
          </w:p>
        </w:tc>
        <w:tc>
          <w:tcPr>
            <w:tcW w:w="2025" w:type="dxa"/>
            <w:vAlign w:val="center"/>
          </w:tcPr>
          <w:p w14:paraId="4D1DAB64">
            <w:pPr>
              <w:spacing w:line="360" w:lineRule="auto"/>
              <w:jc w:val="center"/>
              <w:rPr>
                <w:rFonts w:ascii="宋体" w:hAnsi="宋体" w:cs="宋体"/>
                <w:kern w:val="0"/>
                <w:sz w:val="24"/>
              </w:rPr>
            </w:pPr>
            <w:r>
              <w:rPr>
                <w:rFonts w:hint="eastAsia" w:ascii="宋体" w:hAnsi="宋体" w:cs="宋体"/>
                <w:sz w:val="24"/>
              </w:rPr>
              <w:t>支付进度符合率</w:t>
            </w:r>
          </w:p>
        </w:tc>
        <w:tc>
          <w:tcPr>
            <w:tcW w:w="1500" w:type="dxa"/>
            <w:vAlign w:val="center"/>
          </w:tcPr>
          <w:p w14:paraId="5368C6DC">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7ED20052">
            <w:pPr>
              <w:spacing w:line="360" w:lineRule="auto"/>
              <w:jc w:val="center"/>
              <w:rPr>
                <w:rFonts w:ascii="宋体" w:hAnsi="宋体" w:cs="宋体"/>
                <w:kern w:val="0"/>
                <w:sz w:val="24"/>
              </w:rPr>
            </w:pPr>
            <w:r>
              <w:rPr>
                <w:rFonts w:hint="eastAsia" w:ascii="宋体" w:hAnsi="宋体" w:cs="宋体"/>
                <w:sz w:val="24"/>
              </w:rPr>
              <w:t>100%</w:t>
            </w:r>
          </w:p>
        </w:tc>
        <w:tc>
          <w:tcPr>
            <w:tcW w:w="1815" w:type="dxa"/>
            <w:vAlign w:val="center"/>
          </w:tcPr>
          <w:p w14:paraId="78619F27">
            <w:pPr>
              <w:spacing w:line="360" w:lineRule="auto"/>
              <w:jc w:val="center"/>
              <w:rPr>
                <w:rFonts w:ascii="宋体" w:hAnsi="宋体" w:cs="宋体"/>
                <w:kern w:val="0"/>
                <w:sz w:val="24"/>
              </w:rPr>
            </w:pPr>
            <w:r>
              <w:rPr>
                <w:rFonts w:hint="eastAsia" w:ascii="宋体" w:hAnsi="宋体" w:cs="宋体"/>
                <w:sz w:val="24"/>
              </w:rPr>
              <w:t>省预算管理一体化系统、台账资料</w:t>
            </w:r>
          </w:p>
        </w:tc>
        <w:tc>
          <w:tcPr>
            <w:tcW w:w="1185" w:type="dxa"/>
            <w:vAlign w:val="center"/>
          </w:tcPr>
          <w:p w14:paraId="520D5A1C">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2AAB02FD">
            <w:pPr>
              <w:spacing w:line="360" w:lineRule="auto"/>
              <w:rPr>
                <w:rFonts w:ascii="宋体" w:hAnsi="宋体" w:cs="宋体"/>
                <w:kern w:val="0"/>
                <w:sz w:val="22"/>
              </w:rPr>
            </w:pPr>
          </w:p>
        </w:tc>
      </w:tr>
      <w:tr w14:paraId="6DB2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041E49BB">
            <w:pPr>
              <w:spacing w:line="360" w:lineRule="auto"/>
              <w:jc w:val="center"/>
              <w:rPr>
                <w:rFonts w:ascii="宋体" w:hAnsi="宋体" w:cs="宋体"/>
                <w:kern w:val="0"/>
                <w:sz w:val="24"/>
              </w:rPr>
            </w:pPr>
          </w:p>
        </w:tc>
        <w:tc>
          <w:tcPr>
            <w:tcW w:w="1680" w:type="dxa"/>
            <w:vMerge w:val="continue"/>
            <w:vAlign w:val="center"/>
          </w:tcPr>
          <w:p w14:paraId="09341218">
            <w:pPr>
              <w:spacing w:line="360" w:lineRule="auto"/>
              <w:jc w:val="center"/>
              <w:rPr>
                <w:rFonts w:ascii="宋体" w:hAnsi="宋体" w:cs="宋体"/>
                <w:kern w:val="0"/>
                <w:sz w:val="24"/>
              </w:rPr>
            </w:pPr>
          </w:p>
        </w:tc>
        <w:tc>
          <w:tcPr>
            <w:tcW w:w="2025" w:type="dxa"/>
            <w:vAlign w:val="center"/>
          </w:tcPr>
          <w:p w14:paraId="6361C10D">
            <w:pPr>
              <w:spacing w:line="360" w:lineRule="auto"/>
              <w:jc w:val="center"/>
              <w:rPr>
                <w:rFonts w:ascii="宋体" w:hAnsi="宋体" w:cs="宋体"/>
                <w:kern w:val="0"/>
                <w:sz w:val="24"/>
              </w:rPr>
            </w:pPr>
            <w:r>
              <w:rPr>
                <w:rFonts w:hint="eastAsia" w:ascii="宋体" w:hAnsi="宋体" w:cs="宋体"/>
                <w:sz w:val="24"/>
              </w:rPr>
              <w:t>预算调整率</w:t>
            </w:r>
          </w:p>
        </w:tc>
        <w:tc>
          <w:tcPr>
            <w:tcW w:w="1500" w:type="dxa"/>
            <w:vAlign w:val="center"/>
          </w:tcPr>
          <w:p w14:paraId="13EBD674">
            <w:pPr>
              <w:spacing w:line="360" w:lineRule="auto"/>
              <w:jc w:val="center"/>
              <w:rPr>
                <w:rFonts w:ascii="宋体" w:hAnsi="宋体" w:cs="宋体"/>
                <w:kern w:val="0"/>
                <w:sz w:val="24"/>
              </w:rPr>
            </w:pPr>
            <w:r>
              <w:rPr>
                <w:rFonts w:hint="eastAsia" w:ascii="宋体" w:hAnsi="宋体" w:cs="宋体"/>
                <w:sz w:val="24"/>
              </w:rPr>
              <w:t>=0%</w:t>
            </w:r>
          </w:p>
        </w:tc>
        <w:tc>
          <w:tcPr>
            <w:tcW w:w="1470" w:type="dxa"/>
            <w:vAlign w:val="center"/>
          </w:tcPr>
          <w:p w14:paraId="19A50737">
            <w:pPr>
              <w:spacing w:line="360" w:lineRule="auto"/>
              <w:jc w:val="center"/>
              <w:rPr>
                <w:rFonts w:ascii="宋体" w:hAnsi="宋体" w:cs="宋体"/>
                <w:kern w:val="0"/>
                <w:sz w:val="24"/>
              </w:rPr>
            </w:pPr>
            <w:r>
              <w:rPr>
                <w:rFonts w:hint="eastAsia" w:ascii="宋体" w:hAnsi="宋体" w:cs="宋体"/>
                <w:sz w:val="24"/>
              </w:rPr>
              <w:t>0.86%</w:t>
            </w:r>
          </w:p>
        </w:tc>
        <w:tc>
          <w:tcPr>
            <w:tcW w:w="1815" w:type="dxa"/>
            <w:vAlign w:val="center"/>
          </w:tcPr>
          <w:p w14:paraId="191EC51B">
            <w:pPr>
              <w:spacing w:line="360" w:lineRule="auto"/>
              <w:jc w:val="center"/>
              <w:rPr>
                <w:rFonts w:ascii="宋体" w:hAnsi="宋体" w:cs="宋体"/>
                <w:kern w:val="0"/>
                <w:sz w:val="24"/>
              </w:rPr>
            </w:pPr>
            <w:r>
              <w:rPr>
                <w:rFonts w:hint="eastAsia" w:ascii="宋体" w:hAnsi="宋体" w:cs="宋体"/>
                <w:sz w:val="24"/>
              </w:rPr>
              <w:t>省预算管理一体化系统、台账资料</w:t>
            </w:r>
          </w:p>
        </w:tc>
        <w:tc>
          <w:tcPr>
            <w:tcW w:w="1185" w:type="dxa"/>
            <w:vAlign w:val="center"/>
          </w:tcPr>
          <w:p w14:paraId="72DD5873">
            <w:pPr>
              <w:spacing w:line="360" w:lineRule="auto"/>
              <w:jc w:val="center"/>
              <w:rPr>
                <w:rFonts w:ascii="宋体" w:hAnsi="宋体" w:cs="宋体"/>
                <w:kern w:val="0"/>
                <w:sz w:val="24"/>
              </w:rPr>
            </w:pPr>
            <w:r>
              <w:rPr>
                <w:rFonts w:hint="eastAsia" w:ascii="宋体" w:hAnsi="宋体" w:cs="宋体"/>
                <w:sz w:val="24"/>
              </w:rPr>
              <w:t>100%</w:t>
            </w:r>
          </w:p>
        </w:tc>
        <w:tc>
          <w:tcPr>
            <w:tcW w:w="3248" w:type="dxa"/>
          </w:tcPr>
          <w:p w14:paraId="109C37FD">
            <w:pPr>
              <w:spacing w:line="360" w:lineRule="auto"/>
              <w:rPr>
                <w:rFonts w:ascii="宋体" w:hAnsi="宋体" w:cs="宋体"/>
                <w:kern w:val="0"/>
                <w:sz w:val="22"/>
              </w:rPr>
            </w:pPr>
            <w:r>
              <w:rPr>
                <w:rFonts w:hint="eastAsia" w:ascii="宋体" w:hAnsi="宋体" w:cs="宋体"/>
                <w:sz w:val="24"/>
              </w:rPr>
              <w:t>主要是年中下达省拨经费以及按规定增加人员经费。</w:t>
            </w:r>
          </w:p>
        </w:tc>
      </w:tr>
      <w:tr w14:paraId="2351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6E71AA9B">
            <w:pPr>
              <w:spacing w:line="360" w:lineRule="auto"/>
              <w:jc w:val="center"/>
              <w:rPr>
                <w:rFonts w:ascii="宋体" w:hAnsi="宋体" w:cs="宋体"/>
                <w:kern w:val="0"/>
                <w:sz w:val="24"/>
              </w:rPr>
            </w:pPr>
          </w:p>
        </w:tc>
        <w:tc>
          <w:tcPr>
            <w:tcW w:w="1680" w:type="dxa"/>
            <w:vMerge w:val="continue"/>
            <w:vAlign w:val="center"/>
          </w:tcPr>
          <w:p w14:paraId="0B6D83D8">
            <w:pPr>
              <w:spacing w:line="360" w:lineRule="auto"/>
              <w:jc w:val="center"/>
              <w:rPr>
                <w:rFonts w:ascii="宋体" w:hAnsi="宋体" w:cs="宋体"/>
                <w:kern w:val="0"/>
                <w:sz w:val="24"/>
              </w:rPr>
            </w:pPr>
          </w:p>
        </w:tc>
        <w:tc>
          <w:tcPr>
            <w:tcW w:w="2025" w:type="dxa"/>
            <w:vAlign w:val="center"/>
          </w:tcPr>
          <w:p w14:paraId="0F36F7B6">
            <w:pPr>
              <w:spacing w:line="360" w:lineRule="auto"/>
              <w:jc w:val="center"/>
              <w:rPr>
                <w:rFonts w:ascii="宋体" w:hAnsi="宋体" w:cs="宋体"/>
                <w:kern w:val="0"/>
                <w:sz w:val="24"/>
              </w:rPr>
            </w:pPr>
            <w:r>
              <w:rPr>
                <w:rFonts w:hint="eastAsia" w:ascii="宋体" w:hAnsi="宋体" w:cs="宋体"/>
                <w:sz w:val="24"/>
              </w:rPr>
              <w:t>政府采购执行率</w:t>
            </w:r>
          </w:p>
        </w:tc>
        <w:tc>
          <w:tcPr>
            <w:tcW w:w="1500" w:type="dxa"/>
            <w:vAlign w:val="center"/>
          </w:tcPr>
          <w:p w14:paraId="28A5B2B2">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5BFAD2D4">
            <w:pPr>
              <w:spacing w:line="360" w:lineRule="auto"/>
              <w:jc w:val="center"/>
              <w:rPr>
                <w:rFonts w:ascii="宋体" w:hAnsi="宋体" w:cs="宋体"/>
                <w:kern w:val="0"/>
                <w:sz w:val="24"/>
              </w:rPr>
            </w:pPr>
            <w:r>
              <w:rPr>
                <w:rFonts w:hint="eastAsia" w:ascii="宋体" w:hAnsi="宋体" w:cs="宋体"/>
                <w:sz w:val="24"/>
              </w:rPr>
              <w:t>100%</w:t>
            </w:r>
          </w:p>
        </w:tc>
        <w:tc>
          <w:tcPr>
            <w:tcW w:w="1815" w:type="dxa"/>
            <w:vAlign w:val="center"/>
          </w:tcPr>
          <w:p w14:paraId="10EE0131">
            <w:pPr>
              <w:spacing w:line="360" w:lineRule="auto"/>
              <w:jc w:val="center"/>
              <w:rPr>
                <w:rFonts w:ascii="宋体" w:hAnsi="宋体" w:cs="宋体"/>
                <w:kern w:val="0"/>
                <w:sz w:val="24"/>
              </w:rPr>
            </w:pPr>
            <w:r>
              <w:rPr>
                <w:rFonts w:hint="eastAsia" w:ascii="宋体" w:hAnsi="宋体" w:cs="宋体"/>
                <w:sz w:val="24"/>
              </w:rPr>
              <w:t>政府采购平台、省预算管理一体化系统</w:t>
            </w:r>
          </w:p>
        </w:tc>
        <w:tc>
          <w:tcPr>
            <w:tcW w:w="1185" w:type="dxa"/>
            <w:vAlign w:val="center"/>
          </w:tcPr>
          <w:p w14:paraId="6D6EB702">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5000006B">
            <w:pPr>
              <w:spacing w:line="360" w:lineRule="auto"/>
              <w:rPr>
                <w:rFonts w:ascii="宋体" w:hAnsi="宋体" w:cs="宋体"/>
                <w:kern w:val="0"/>
                <w:sz w:val="22"/>
              </w:rPr>
            </w:pPr>
          </w:p>
        </w:tc>
      </w:tr>
      <w:tr w14:paraId="10B01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7A72E197">
            <w:pPr>
              <w:spacing w:line="360" w:lineRule="auto"/>
              <w:jc w:val="center"/>
              <w:rPr>
                <w:rFonts w:ascii="宋体" w:hAnsi="宋体" w:cs="宋体"/>
                <w:kern w:val="0"/>
                <w:sz w:val="24"/>
              </w:rPr>
            </w:pPr>
          </w:p>
        </w:tc>
        <w:tc>
          <w:tcPr>
            <w:tcW w:w="1680" w:type="dxa"/>
            <w:vMerge w:val="continue"/>
            <w:vAlign w:val="center"/>
          </w:tcPr>
          <w:p w14:paraId="4E1384A2">
            <w:pPr>
              <w:spacing w:line="360" w:lineRule="auto"/>
              <w:jc w:val="center"/>
              <w:rPr>
                <w:rFonts w:ascii="宋体" w:hAnsi="宋体" w:cs="宋体"/>
                <w:kern w:val="0"/>
                <w:sz w:val="24"/>
              </w:rPr>
            </w:pPr>
          </w:p>
        </w:tc>
        <w:tc>
          <w:tcPr>
            <w:tcW w:w="2025" w:type="dxa"/>
            <w:vAlign w:val="center"/>
          </w:tcPr>
          <w:p w14:paraId="07DE64C8">
            <w:pPr>
              <w:spacing w:line="360" w:lineRule="auto"/>
              <w:jc w:val="center"/>
              <w:rPr>
                <w:rFonts w:ascii="宋体" w:hAnsi="宋体" w:cs="宋体"/>
                <w:kern w:val="0"/>
                <w:sz w:val="24"/>
              </w:rPr>
            </w:pPr>
            <w:r>
              <w:rPr>
                <w:rFonts w:hint="eastAsia" w:ascii="宋体" w:hAnsi="宋体" w:cs="宋体"/>
                <w:sz w:val="24"/>
              </w:rPr>
              <w:t>公用经费控制率</w:t>
            </w:r>
          </w:p>
        </w:tc>
        <w:tc>
          <w:tcPr>
            <w:tcW w:w="1500" w:type="dxa"/>
            <w:vAlign w:val="center"/>
          </w:tcPr>
          <w:p w14:paraId="6E364866">
            <w:pPr>
              <w:spacing w:line="360" w:lineRule="auto"/>
              <w:jc w:val="center"/>
              <w:rPr>
                <w:rFonts w:ascii="宋体" w:hAnsi="宋体" w:cs="宋体"/>
                <w:kern w:val="0"/>
                <w:sz w:val="24"/>
              </w:rPr>
            </w:pPr>
            <w:r>
              <w:rPr>
                <w:rFonts w:hint="eastAsia" w:ascii="宋体" w:hAnsi="宋体" w:cs="宋体"/>
                <w:sz w:val="24"/>
              </w:rPr>
              <w:t>&lt;=100%</w:t>
            </w:r>
          </w:p>
        </w:tc>
        <w:tc>
          <w:tcPr>
            <w:tcW w:w="1470" w:type="dxa"/>
            <w:vAlign w:val="center"/>
          </w:tcPr>
          <w:p w14:paraId="49362897">
            <w:pPr>
              <w:spacing w:line="360" w:lineRule="auto"/>
              <w:jc w:val="center"/>
              <w:rPr>
                <w:rFonts w:ascii="宋体" w:hAnsi="宋体" w:cs="宋体"/>
                <w:kern w:val="0"/>
                <w:sz w:val="24"/>
              </w:rPr>
            </w:pPr>
            <w:r>
              <w:rPr>
                <w:rFonts w:hint="eastAsia" w:ascii="宋体" w:hAnsi="宋体" w:cs="宋体"/>
                <w:sz w:val="24"/>
              </w:rPr>
              <w:t>90.79%</w:t>
            </w:r>
          </w:p>
        </w:tc>
        <w:tc>
          <w:tcPr>
            <w:tcW w:w="1815" w:type="dxa"/>
            <w:vAlign w:val="center"/>
          </w:tcPr>
          <w:p w14:paraId="0C661D06">
            <w:pPr>
              <w:spacing w:line="360" w:lineRule="auto"/>
              <w:jc w:val="center"/>
              <w:rPr>
                <w:rFonts w:ascii="宋体" w:hAnsi="宋体" w:cs="宋体"/>
                <w:kern w:val="0"/>
                <w:sz w:val="24"/>
              </w:rPr>
            </w:pPr>
            <w:r>
              <w:rPr>
                <w:rFonts w:hint="eastAsia" w:ascii="宋体" w:hAnsi="宋体" w:cs="宋体"/>
                <w:sz w:val="24"/>
              </w:rPr>
              <w:t>决算报表</w:t>
            </w:r>
          </w:p>
        </w:tc>
        <w:tc>
          <w:tcPr>
            <w:tcW w:w="1185" w:type="dxa"/>
            <w:vAlign w:val="center"/>
          </w:tcPr>
          <w:p w14:paraId="011AB4CA">
            <w:pPr>
              <w:spacing w:line="360" w:lineRule="auto"/>
              <w:jc w:val="center"/>
              <w:rPr>
                <w:rFonts w:ascii="宋体" w:hAnsi="宋体" w:cs="宋体"/>
                <w:kern w:val="0"/>
                <w:sz w:val="24"/>
              </w:rPr>
            </w:pPr>
            <w:r>
              <w:rPr>
                <w:rFonts w:hint="eastAsia" w:ascii="宋体" w:hAnsi="宋体" w:cs="宋体"/>
                <w:sz w:val="24"/>
              </w:rPr>
              <w:t>-9.21%</w:t>
            </w:r>
          </w:p>
        </w:tc>
        <w:tc>
          <w:tcPr>
            <w:tcW w:w="3248" w:type="dxa"/>
          </w:tcPr>
          <w:p w14:paraId="5959EF89">
            <w:pPr>
              <w:spacing w:line="360" w:lineRule="auto"/>
              <w:rPr>
                <w:rFonts w:ascii="宋体" w:hAnsi="宋体" w:cs="宋体"/>
                <w:kern w:val="0"/>
                <w:sz w:val="22"/>
              </w:rPr>
            </w:pPr>
          </w:p>
        </w:tc>
      </w:tr>
      <w:tr w14:paraId="4A166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5F65933F">
            <w:pPr>
              <w:spacing w:line="360" w:lineRule="auto"/>
              <w:jc w:val="center"/>
              <w:rPr>
                <w:rFonts w:ascii="宋体" w:hAnsi="宋体" w:cs="宋体"/>
                <w:kern w:val="0"/>
                <w:sz w:val="24"/>
              </w:rPr>
            </w:pPr>
          </w:p>
        </w:tc>
        <w:tc>
          <w:tcPr>
            <w:tcW w:w="1680" w:type="dxa"/>
            <w:vMerge w:val="continue"/>
            <w:vAlign w:val="center"/>
          </w:tcPr>
          <w:p w14:paraId="17EDE7CB">
            <w:pPr>
              <w:spacing w:line="360" w:lineRule="auto"/>
              <w:jc w:val="center"/>
              <w:rPr>
                <w:rFonts w:ascii="宋体" w:hAnsi="宋体" w:cs="宋体"/>
                <w:kern w:val="0"/>
                <w:sz w:val="24"/>
              </w:rPr>
            </w:pPr>
          </w:p>
        </w:tc>
        <w:tc>
          <w:tcPr>
            <w:tcW w:w="2025" w:type="dxa"/>
            <w:vAlign w:val="center"/>
          </w:tcPr>
          <w:p w14:paraId="76E3BB93">
            <w:pPr>
              <w:spacing w:line="360" w:lineRule="auto"/>
              <w:jc w:val="center"/>
              <w:rPr>
                <w:rFonts w:ascii="宋体" w:hAnsi="宋体" w:cs="宋体"/>
                <w:kern w:val="0"/>
                <w:sz w:val="24"/>
              </w:rPr>
            </w:pPr>
            <w:r>
              <w:rPr>
                <w:rFonts w:hint="eastAsia" w:ascii="宋体" w:hAnsi="宋体" w:cs="宋体"/>
                <w:sz w:val="24"/>
              </w:rPr>
              <w:t>结转结余率</w:t>
            </w:r>
          </w:p>
        </w:tc>
        <w:tc>
          <w:tcPr>
            <w:tcW w:w="1500" w:type="dxa"/>
            <w:vAlign w:val="center"/>
          </w:tcPr>
          <w:p w14:paraId="328E79B9">
            <w:pPr>
              <w:spacing w:line="360" w:lineRule="auto"/>
              <w:jc w:val="center"/>
              <w:rPr>
                <w:rFonts w:ascii="宋体" w:hAnsi="宋体" w:cs="宋体"/>
                <w:kern w:val="0"/>
                <w:sz w:val="24"/>
              </w:rPr>
            </w:pPr>
            <w:r>
              <w:rPr>
                <w:rFonts w:hint="eastAsia" w:ascii="宋体" w:hAnsi="宋体" w:cs="宋体"/>
                <w:sz w:val="24"/>
              </w:rPr>
              <w:t>=0%</w:t>
            </w:r>
          </w:p>
        </w:tc>
        <w:tc>
          <w:tcPr>
            <w:tcW w:w="1470" w:type="dxa"/>
            <w:vAlign w:val="center"/>
          </w:tcPr>
          <w:p w14:paraId="69A6DF70">
            <w:pPr>
              <w:spacing w:line="360" w:lineRule="auto"/>
              <w:jc w:val="center"/>
              <w:rPr>
                <w:rFonts w:ascii="宋体" w:hAnsi="宋体" w:cs="宋体"/>
                <w:kern w:val="0"/>
                <w:sz w:val="24"/>
              </w:rPr>
            </w:pPr>
            <w:r>
              <w:rPr>
                <w:rFonts w:hint="eastAsia" w:ascii="宋体" w:hAnsi="宋体" w:cs="宋体"/>
                <w:sz w:val="24"/>
              </w:rPr>
              <w:t>0%</w:t>
            </w:r>
          </w:p>
        </w:tc>
        <w:tc>
          <w:tcPr>
            <w:tcW w:w="1815" w:type="dxa"/>
            <w:vAlign w:val="center"/>
          </w:tcPr>
          <w:p w14:paraId="003A9F9F">
            <w:pPr>
              <w:spacing w:line="360" w:lineRule="auto"/>
              <w:jc w:val="center"/>
              <w:rPr>
                <w:rFonts w:ascii="宋体" w:hAnsi="宋体" w:cs="宋体"/>
                <w:kern w:val="0"/>
                <w:sz w:val="24"/>
              </w:rPr>
            </w:pPr>
            <w:r>
              <w:rPr>
                <w:rFonts w:hint="eastAsia" w:ascii="宋体" w:hAnsi="宋体" w:cs="宋体"/>
                <w:sz w:val="24"/>
              </w:rPr>
              <w:t>决算报表</w:t>
            </w:r>
          </w:p>
        </w:tc>
        <w:tc>
          <w:tcPr>
            <w:tcW w:w="1185" w:type="dxa"/>
            <w:vAlign w:val="center"/>
          </w:tcPr>
          <w:p w14:paraId="2F0F7D8E">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4AE439A1">
            <w:pPr>
              <w:spacing w:line="360" w:lineRule="auto"/>
              <w:rPr>
                <w:rFonts w:ascii="宋体" w:hAnsi="宋体" w:cs="宋体"/>
                <w:kern w:val="0"/>
                <w:sz w:val="22"/>
              </w:rPr>
            </w:pPr>
          </w:p>
        </w:tc>
      </w:tr>
      <w:tr w14:paraId="4984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3A9B5AA6">
            <w:pPr>
              <w:spacing w:line="360" w:lineRule="auto"/>
              <w:jc w:val="center"/>
              <w:rPr>
                <w:rFonts w:ascii="宋体" w:hAnsi="宋体" w:cs="宋体"/>
                <w:kern w:val="0"/>
                <w:sz w:val="24"/>
              </w:rPr>
            </w:pPr>
          </w:p>
        </w:tc>
        <w:tc>
          <w:tcPr>
            <w:tcW w:w="1680" w:type="dxa"/>
            <w:vMerge w:val="continue"/>
            <w:vAlign w:val="center"/>
          </w:tcPr>
          <w:p w14:paraId="0AEEA7DF">
            <w:pPr>
              <w:spacing w:line="360" w:lineRule="auto"/>
              <w:jc w:val="center"/>
              <w:rPr>
                <w:rFonts w:ascii="宋体" w:hAnsi="宋体" w:cs="宋体"/>
                <w:kern w:val="0"/>
                <w:sz w:val="24"/>
              </w:rPr>
            </w:pPr>
          </w:p>
        </w:tc>
        <w:tc>
          <w:tcPr>
            <w:tcW w:w="2025" w:type="dxa"/>
            <w:vAlign w:val="center"/>
          </w:tcPr>
          <w:p w14:paraId="3865BF87">
            <w:pPr>
              <w:spacing w:line="360" w:lineRule="auto"/>
              <w:jc w:val="center"/>
              <w:rPr>
                <w:rFonts w:ascii="宋体" w:hAnsi="宋体" w:cs="宋体"/>
                <w:kern w:val="0"/>
                <w:sz w:val="24"/>
              </w:rPr>
            </w:pPr>
            <w:r>
              <w:rPr>
                <w:rFonts w:hint="eastAsia" w:ascii="宋体" w:hAnsi="宋体" w:cs="宋体"/>
                <w:sz w:val="24"/>
              </w:rPr>
              <w:t>“三公经费”变动率</w:t>
            </w:r>
          </w:p>
        </w:tc>
        <w:tc>
          <w:tcPr>
            <w:tcW w:w="1500" w:type="dxa"/>
            <w:vAlign w:val="center"/>
          </w:tcPr>
          <w:p w14:paraId="50AE2FDC">
            <w:pPr>
              <w:spacing w:line="360" w:lineRule="auto"/>
              <w:jc w:val="center"/>
              <w:rPr>
                <w:rFonts w:ascii="宋体" w:hAnsi="宋体" w:cs="宋体"/>
                <w:kern w:val="0"/>
                <w:sz w:val="24"/>
              </w:rPr>
            </w:pPr>
            <w:r>
              <w:rPr>
                <w:rFonts w:hint="eastAsia" w:ascii="宋体" w:hAnsi="宋体" w:cs="宋体"/>
                <w:sz w:val="24"/>
              </w:rPr>
              <w:t>&lt;=0%</w:t>
            </w:r>
          </w:p>
        </w:tc>
        <w:tc>
          <w:tcPr>
            <w:tcW w:w="1470" w:type="dxa"/>
            <w:vAlign w:val="center"/>
          </w:tcPr>
          <w:p w14:paraId="77A74D4F">
            <w:pPr>
              <w:spacing w:line="360" w:lineRule="auto"/>
              <w:jc w:val="center"/>
              <w:rPr>
                <w:rFonts w:ascii="宋体" w:hAnsi="宋体" w:cs="宋体"/>
                <w:kern w:val="0"/>
                <w:sz w:val="24"/>
              </w:rPr>
            </w:pPr>
            <w:r>
              <w:rPr>
                <w:rFonts w:hint="eastAsia" w:ascii="宋体" w:hAnsi="宋体" w:cs="宋体"/>
                <w:sz w:val="24"/>
              </w:rPr>
              <w:t>30.26%</w:t>
            </w:r>
          </w:p>
        </w:tc>
        <w:tc>
          <w:tcPr>
            <w:tcW w:w="1815" w:type="dxa"/>
            <w:vAlign w:val="center"/>
          </w:tcPr>
          <w:p w14:paraId="601F8CF3">
            <w:pPr>
              <w:spacing w:line="360" w:lineRule="auto"/>
              <w:jc w:val="center"/>
              <w:rPr>
                <w:rFonts w:ascii="宋体" w:hAnsi="宋体" w:cs="宋体"/>
                <w:kern w:val="0"/>
                <w:sz w:val="24"/>
              </w:rPr>
            </w:pPr>
            <w:r>
              <w:rPr>
                <w:rFonts w:hint="eastAsia" w:ascii="宋体" w:hAnsi="宋体" w:cs="宋体"/>
                <w:sz w:val="24"/>
              </w:rPr>
              <w:t>决算报表、台账资料</w:t>
            </w:r>
          </w:p>
        </w:tc>
        <w:tc>
          <w:tcPr>
            <w:tcW w:w="1185" w:type="dxa"/>
            <w:vAlign w:val="center"/>
          </w:tcPr>
          <w:p w14:paraId="7FB5EAEA">
            <w:pPr>
              <w:spacing w:line="360" w:lineRule="auto"/>
              <w:jc w:val="center"/>
              <w:rPr>
                <w:rFonts w:ascii="宋体" w:hAnsi="宋体" w:cs="宋体"/>
                <w:kern w:val="0"/>
                <w:sz w:val="24"/>
              </w:rPr>
            </w:pPr>
            <w:r>
              <w:rPr>
                <w:rFonts w:hint="eastAsia" w:ascii="宋体" w:hAnsi="宋体" w:cs="宋体"/>
                <w:sz w:val="24"/>
              </w:rPr>
              <w:t>100%</w:t>
            </w:r>
          </w:p>
        </w:tc>
        <w:tc>
          <w:tcPr>
            <w:tcW w:w="3248" w:type="dxa"/>
          </w:tcPr>
          <w:p w14:paraId="08EC2475">
            <w:pPr>
              <w:spacing w:line="360" w:lineRule="auto"/>
              <w:rPr>
                <w:rFonts w:ascii="宋体" w:hAnsi="宋体" w:cs="宋体"/>
                <w:kern w:val="0"/>
                <w:sz w:val="22"/>
              </w:rPr>
            </w:pPr>
            <w:r>
              <w:rPr>
                <w:rFonts w:hint="eastAsia" w:ascii="宋体" w:hAnsi="宋体" w:cs="宋体"/>
                <w:sz w:val="24"/>
              </w:rPr>
              <w:t>根据工作安排，因公出国（境）人数增加，费用支出相应增加。</w:t>
            </w:r>
          </w:p>
        </w:tc>
      </w:tr>
      <w:tr w14:paraId="621FD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0D4EB9E3">
            <w:pPr>
              <w:spacing w:line="360" w:lineRule="auto"/>
              <w:jc w:val="center"/>
              <w:rPr>
                <w:rFonts w:ascii="宋体" w:hAnsi="宋体" w:cs="宋体"/>
                <w:kern w:val="0"/>
                <w:sz w:val="24"/>
              </w:rPr>
            </w:pPr>
          </w:p>
        </w:tc>
        <w:tc>
          <w:tcPr>
            <w:tcW w:w="1680" w:type="dxa"/>
            <w:vMerge w:val="restart"/>
            <w:vAlign w:val="center"/>
          </w:tcPr>
          <w:p w14:paraId="3A656632">
            <w:pPr>
              <w:spacing w:line="360" w:lineRule="auto"/>
              <w:jc w:val="center"/>
              <w:rPr>
                <w:rFonts w:ascii="宋体" w:hAnsi="宋体" w:cs="宋体"/>
                <w:kern w:val="0"/>
                <w:sz w:val="24"/>
              </w:rPr>
            </w:pPr>
            <w:r>
              <w:rPr>
                <w:rFonts w:hint="eastAsia" w:ascii="宋体" w:hAnsi="宋体" w:cs="宋体"/>
                <w:sz w:val="24"/>
              </w:rPr>
              <w:t>效益</w:t>
            </w:r>
          </w:p>
        </w:tc>
        <w:tc>
          <w:tcPr>
            <w:tcW w:w="2025" w:type="dxa"/>
            <w:vAlign w:val="center"/>
          </w:tcPr>
          <w:p w14:paraId="3A6D7385">
            <w:pPr>
              <w:spacing w:line="360" w:lineRule="auto"/>
              <w:jc w:val="center"/>
              <w:rPr>
                <w:rFonts w:ascii="宋体" w:hAnsi="宋体" w:cs="宋体"/>
                <w:kern w:val="0"/>
                <w:sz w:val="24"/>
              </w:rPr>
            </w:pPr>
            <w:r>
              <w:rPr>
                <w:rFonts w:hint="eastAsia" w:ascii="宋体" w:hAnsi="宋体" w:cs="宋体"/>
                <w:sz w:val="24"/>
              </w:rPr>
              <w:t>优化产业结构布局，推进老旧工业区改造提升</w:t>
            </w:r>
          </w:p>
        </w:tc>
        <w:tc>
          <w:tcPr>
            <w:tcW w:w="1500" w:type="dxa"/>
            <w:vAlign w:val="center"/>
          </w:tcPr>
          <w:p w14:paraId="0E0656B8">
            <w:pPr>
              <w:spacing w:line="360" w:lineRule="auto"/>
              <w:jc w:val="center"/>
              <w:rPr>
                <w:rFonts w:ascii="宋体" w:hAnsi="宋体" w:cs="宋体"/>
                <w:kern w:val="0"/>
                <w:sz w:val="24"/>
              </w:rPr>
            </w:pPr>
            <w:r>
              <w:rPr>
                <w:rFonts w:hint="eastAsia" w:ascii="宋体" w:hAnsi="宋体" w:cs="宋体"/>
                <w:sz w:val="24"/>
              </w:rPr>
              <w:t>分类、有序推进</w:t>
            </w:r>
          </w:p>
        </w:tc>
        <w:tc>
          <w:tcPr>
            <w:tcW w:w="1470" w:type="dxa"/>
            <w:vAlign w:val="center"/>
          </w:tcPr>
          <w:p w14:paraId="193740F2">
            <w:pPr>
              <w:spacing w:line="360" w:lineRule="auto"/>
              <w:jc w:val="center"/>
              <w:rPr>
                <w:rFonts w:ascii="宋体" w:hAnsi="宋体" w:cs="宋体"/>
                <w:kern w:val="0"/>
                <w:sz w:val="24"/>
              </w:rPr>
            </w:pPr>
            <w:r>
              <w:rPr>
                <w:rFonts w:hint="eastAsia" w:ascii="宋体" w:hAnsi="宋体" w:cs="宋体"/>
                <w:sz w:val="24"/>
              </w:rPr>
              <w:t>分类、有序推进</w:t>
            </w:r>
          </w:p>
        </w:tc>
        <w:tc>
          <w:tcPr>
            <w:tcW w:w="1815" w:type="dxa"/>
            <w:vAlign w:val="center"/>
          </w:tcPr>
          <w:p w14:paraId="79F0F2F2">
            <w:pPr>
              <w:spacing w:line="360" w:lineRule="auto"/>
              <w:jc w:val="center"/>
              <w:rPr>
                <w:rFonts w:ascii="宋体" w:hAnsi="宋体" w:cs="宋体"/>
                <w:kern w:val="0"/>
                <w:sz w:val="24"/>
              </w:rPr>
            </w:pPr>
            <w:r>
              <w:rPr>
                <w:rFonts w:hint="eastAsia" w:ascii="宋体" w:hAnsi="宋体" w:cs="宋体"/>
                <w:sz w:val="24"/>
              </w:rPr>
              <w:t>各地申报、评审认定</w:t>
            </w:r>
          </w:p>
        </w:tc>
        <w:tc>
          <w:tcPr>
            <w:tcW w:w="1185" w:type="dxa"/>
            <w:vAlign w:val="center"/>
          </w:tcPr>
          <w:p w14:paraId="419A9926">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489D0AD8">
            <w:pPr>
              <w:spacing w:line="360" w:lineRule="auto"/>
              <w:rPr>
                <w:rFonts w:ascii="宋体" w:hAnsi="宋体" w:cs="宋体"/>
                <w:kern w:val="0"/>
                <w:sz w:val="22"/>
              </w:rPr>
            </w:pPr>
          </w:p>
        </w:tc>
      </w:tr>
      <w:tr w14:paraId="21881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3A8BCD91">
            <w:pPr>
              <w:spacing w:line="360" w:lineRule="auto"/>
              <w:jc w:val="center"/>
              <w:rPr>
                <w:rFonts w:ascii="宋体" w:hAnsi="宋体" w:cs="宋体"/>
                <w:kern w:val="0"/>
                <w:sz w:val="24"/>
              </w:rPr>
            </w:pPr>
          </w:p>
        </w:tc>
        <w:tc>
          <w:tcPr>
            <w:tcW w:w="1680" w:type="dxa"/>
            <w:vMerge w:val="continue"/>
            <w:vAlign w:val="center"/>
          </w:tcPr>
          <w:p w14:paraId="2EA2306B">
            <w:pPr>
              <w:spacing w:line="360" w:lineRule="auto"/>
              <w:jc w:val="center"/>
              <w:rPr>
                <w:rFonts w:ascii="宋体" w:hAnsi="宋体" w:cs="宋体"/>
                <w:kern w:val="0"/>
                <w:sz w:val="24"/>
              </w:rPr>
            </w:pPr>
          </w:p>
        </w:tc>
        <w:tc>
          <w:tcPr>
            <w:tcW w:w="2025" w:type="dxa"/>
            <w:vAlign w:val="center"/>
          </w:tcPr>
          <w:p w14:paraId="4157671D">
            <w:pPr>
              <w:spacing w:line="360" w:lineRule="auto"/>
              <w:jc w:val="center"/>
              <w:rPr>
                <w:rFonts w:ascii="宋体" w:hAnsi="宋体" w:cs="宋体"/>
                <w:kern w:val="0"/>
                <w:sz w:val="24"/>
              </w:rPr>
            </w:pPr>
            <w:r>
              <w:rPr>
                <w:rFonts w:hint="eastAsia" w:ascii="宋体" w:hAnsi="宋体" w:cs="宋体"/>
                <w:sz w:val="24"/>
              </w:rPr>
              <w:t>民爆或民用船舶制造行业重大安全生产事故数</w:t>
            </w:r>
          </w:p>
        </w:tc>
        <w:tc>
          <w:tcPr>
            <w:tcW w:w="1500" w:type="dxa"/>
            <w:vAlign w:val="center"/>
          </w:tcPr>
          <w:p w14:paraId="0BC58A46">
            <w:pPr>
              <w:spacing w:line="360" w:lineRule="auto"/>
              <w:jc w:val="center"/>
              <w:rPr>
                <w:rFonts w:ascii="宋体" w:hAnsi="宋体" w:cs="宋体"/>
                <w:kern w:val="0"/>
                <w:sz w:val="24"/>
              </w:rPr>
            </w:pPr>
            <w:r>
              <w:rPr>
                <w:rFonts w:hint="eastAsia" w:ascii="宋体" w:hAnsi="宋体" w:cs="宋体"/>
                <w:sz w:val="24"/>
              </w:rPr>
              <w:t>=0起</w:t>
            </w:r>
          </w:p>
        </w:tc>
        <w:tc>
          <w:tcPr>
            <w:tcW w:w="1470" w:type="dxa"/>
            <w:vAlign w:val="center"/>
          </w:tcPr>
          <w:p w14:paraId="6F440A8F">
            <w:pPr>
              <w:spacing w:line="360" w:lineRule="auto"/>
              <w:jc w:val="center"/>
              <w:rPr>
                <w:rFonts w:ascii="宋体" w:hAnsi="宋体" w:cs="宋体"/>
                <w:kern w:val="0"/>
                <w:sz w:val="24"/>
              </w:rPr>
            </w:pPr>
            <w:r>
              <w:rPr>
                <w:rFonts w:hint="eastAsia" w:ascii="宋体" w:hAnsi="宋体" w:cs="宋体"/>
                <w:sz w:val="24"/>
              </w:rPr>
              <w:t>0起</w:t>
            </w:r>
          </w:p>
        </w:tc>
        <w:tc>
          <w:tcPr>
            <w:tcW w:w="1815" w:type="dxa"/>
            <w:vAlign w:val="center"/>
          </w:tcPr>
          <w:p w14:paraId="1949FAF7">
            <w:pPr>
              <w:spacing w:line="360" w:lineRule="auto"/>
              <w:jc w:val="center"/>
              <w:rPr>
                <w:rFonts w:ascii="宋体" w:hAnsi="宋体" w:cs="宋体"/>
                <w:kern w:val="0"/>
                <w:sz w:val="24"/>
              </w:rPr>
            </w:pPr>
            <w:r>
              <w:rPr>
                <w:rFonts w:hint="eastAsia" w:ascii="宋体" w:hAnsi="宋体" w:cs="宋体"/>
                <w:sz w:val="24"/>
              </w:rPr>
              <w:t>安全生产情况通报</w:t>
            </w:r>
          </w:p>
        </w:tc>
        <w:tc>
          <w:tcPr>
            <w:tcW w:w="1185" w:type="dxa"/>
            <w:vAlign w:val="center"/>
          </w:tcPr>
          <w:p w14:paraId="31BCD831">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549EA06B">
            <w:pPr>
              <w:spacing w:line="360" w:lineRule="auto"/>
              <w:rPr>
                <w:rFonts w:ascii="宋体" w:hAnsi="宋体" w:cs="宋体"/>
                <w:kern w:val="0"/>
                <w:sz w:val="22"/>
              </w:rPr>
            </w:pPr>
          </w:p>
        </w:tc>
      </w:tr>
      <w:tr w14:paraId="4B6E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3DA78656">
            <w:pPr>
              <w:spacing w:line="360" w:lineRule="auto"/>
              <w:jc w:val="center"/>
              <w:rPr>
                <w:rFonts w:ascii="宋体" w:hAnsi="宋体" w:cs="宋体"/>
                <w:kern w:val="0"/>
                <w:sz w:val="24"/>
              </w:rPr>
            </w:pPr>
          </w:p>
        </w:tc>
        <w:tc>
          <w:tcPr>
            <w:tcW w:w="1680" w:type="dxa"/>
            <w:vMerge w:val="continue"/>
            <w:vAlign w:val="center"/>
          </w:tcPr>
          <w:p w14:paraId="65BC5D37">
            <w:pPr>
              <w:spacing w:line="360" w:lineRule="auto"/>
              <w:jc w:val="center"/>
              <w:rPr>
                <w:rFonts w:ascii="宋体" w:hAnsi="宋体" w:cs="宋体"/>
                <w:kern w:val="0"/>
                <w:sz w:val="24"/>
              </w:rPr>
            </w:pPr>
          </w:p>
        </w:tc>
        <w:tc>
          <w:tcPr>
            <w:tcW w:w="2025" w:type="dxa"/>
            <w:vAlign w:val="center"/>
          </w:tcPr>
          <w:p w14:paraId="452B33A5">
            <w:pPr>
              <w:spacing w:line="360" w:lineRule="auto"/>
              <w:jc w:val="center"/>
              <w:rPr>
                <w:rFonts w:ascii="宋体" w:hAnsi="宋体" w:cs="宋体"/>
                <w:kern w:val="0"/>
                <w:sz w:val="24"/>
              </w:rPr>
            </w:pPr>
            <w:r>
              <w:rPr>
                <w:rFonts w:hint="eastAsia" w:ascii="宋体" w:hAnsi="宋体" w:cs="宋体"/>
                <w:sz w:val="24"/>
              </w:rPr>
              <w:t>保障全市食盐安全供应，食盐供应事故数</w:t>
            </w:r>
          </w:p>
        </w:tc>
        <w:tc>
          <w:tcPr>
            <w:tcW w:w="1500" w:type="dxa"/>
            <w:vAlign w:val="center"/>
          </w:tcPr>
          <w:p w14:paraId="12957401">
            <w:pPr>
              <w:spacing w:line="360" w:lineRule="auto"/>
              <w:jc w:val="center"/>
              <w:rPr>
                <w:rFonts w:ascii="宋体" w:hAnsi="宋体" w:cs="宋体"/>
                <w:kern w:val="0"/>
                <w:sz w:val="24"/>
              </w:rPr>
            </w:pPr>
            <w:r>
              <w:rPr>
                <w:rFonts w:hint="eastAsia" w:ascii="宋体" w:hAnsi="宋体" w:cs="宋体"/>
                <w:sz w:val="24"/>
              </w:rPr>
              <w:t>=0起</w:t>
            </w:r>
          </w:p>
        </w:tc>
        <w:tc>
          <w:tcPr>
            <w:tcW w:w="1470" w:type="dxa"/>
            <w:vAlign w:val="center"/>
          </w:tcPr>
          <w:p w14:paraId="410CC5F4">
            <w:pPr>
              <w:spacing w:line="360" w:lineRule="auto"/>
              <w:jc w:val="center"/>
              <w:rPr>
                <w:rFonts w:ascii="宋体" w:hAnsi="宋体" w:cs="宋体"/>
                <w:kern w:val="0"/>
                <w:sz w:val="24"/>
              </w:rPr>
            </w:pPr>
            <w:r>
              <w:rPr>
                <w:rFonts w:hint="eastAsia" w:ascii="宋体" w:hAnsi="宋体" w:cs="宋体"/>
                <w:sz w:val="24"/>
              </w:rPr>
              <w:t>0起</w:t>
            </w:r>
          </w:p>
        </w:tc>
        <w:tc>
          <w:tcPr>
            <w:tcW w:w="1815" w:type="dxa"/>
            <w:vAlign w:val="center"/>
          </w:tcPr>
          <w:p w14:paraId="712CEAE0">
            <w:pPr>
              <w:spacing w:line="360" w:lineRule="auto"/>
              <w:jc w:val="center"/>
              <w:rPr>
                <w:rFonts w:ascii="宋体" w:hAnsi="宋体" w:cs="宋体"/>
                <w:kern w:val="0"/>
                <w:sz w:val="24"/>
              </w:rPr>
            </w:pPr>
            <w:r>
              <w:rPr>
                <w:rFonts w:hint="eastAsia" w:ascii="宋体" w:hAnsi="宋体" w:cs="宋体"/>
                <w:sz w:val="24"/>
              </w:rPr>
              <w:t>工作台账</w:t>
            </w:r>
          </w:p>
        </w:tc>
        <w:tc>
          <w:tcPr>
            <w:tcW w:w="1185" w:type="dxa"/>
            <w:vAlign w:val="center"/>
          </w:tcPr>
          <w:p w14:paraId="2B6338A4">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1B7B5CD4">
            <w:pPr>
              <w:spacing w:line="360" w:lineRule="auto"/>
              <w:rPr>
                <w:rFonts w:ascii="宋体" w:hAnsi="宋体" w:cs="宋体"/>
                <w:kern w:val="0"/>
                <w:sz w:val="22"/>
              </w:rPr>
            </w:pPr>
          </w:p>
        </w:tc>
      </w:tr>
      <w:tr w14:paraId="0FB9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02BB218E">
            <w:pPr>
              <w:spacing w:line="360" w:lineRule="auto"/>
              <w:jc w:val="center"/>
              <w:rPr>
                <w:rFonts w:ascii="宋体" w:hAnsi="宋体" w:cs="宋体"/>
                <w:kern w:val="0"/>
                <w:sz w:val="24"/>
              </w:rPr>
            </w:pPr>
          </w:p>
        </w:tc>
        <w:tc>
          <w:tcPr>
            <w:tcW w:w="1680" w:type="dxa"/>
            <w:vMerge w:val="continue"/>
            <w:vAlign w:val="center"/>
          </w:tcPr>
          <w:p w14:paraId="43561C97">
            <w:pPr>
              <w:spacing w:line="360" w:lineRule="auto"/>
              <w:jc w:val="center"/>
              <w:rPr>
                <w:rFonts w:ascii="宋体" w:hAnsi="宋体" w:cs="宋体"/>
                <w:kern w:val="0"/>
                <w:sz w:val="24"/>
              </w:rPr>
            </w:pPr>
          </w:p>
        </w:tc>
        <w:tc>
          <w:tcPr>
            <w:tcW w:w="2025" w:type="dxa"/>
            <w:vAlign w:val="center"/>
          </w:tcPr>
          <w:p w14:paraId="5A4681B6">
            <w:pPr>
              <w:spacing w:line="360" w:lineRule="auto"/>
              <w:jc w:val="center"/>
              <w:rPr>
                <w:rFonts w:ascii="宋体" w:hAnsi="宋体" w:cs="宋体"/>
                <w:kern w:val="0"/>
                <w:sz w:val="24"/>
              </w:rPr>
            </w:pPr>
            <w:r>
              <w:rPr>
                <w:rFonts w:hint="eastAsia" w:ascii="宋体" w:hAnsi="宋体" w:cs="宋体"/>
                <w:sz w:val="24"/>
              </w:rPr>
              <w:t>累计获评国家、省级绿色工厂总数量排名</w:t>
            </w:r>
          </w:p>
        </w:tc>
        <w:tc>
          <w:tcPr>
            <w:tcW w:w="1500" w:type="dxa"/>
            <w:vAlign w:val="center"/>
          </w:tcPr>
          <w:p w14:paraId="3E8587F4">
            <w:pPr>
              <w:spacing w:line="360" w:lineRule="auto"/>
              <w:jc w:val="center"/>
              <w:rPr>
                <w:rFonts w:ascii="宋体" w:hAnsi="宋体" w:cs="宋体"/>
                <w:kern w:val="0"/>
                <w:sz w:val="24"/>
              </w:rPr>
            </w:pPr>
            <w:r>
              <w:rPr>
                <w:rFonts w:hint="eastAsia" w:ascii="宋体" w:hAnsi="宋体" w:cs="宋体"/>
                <w:sz w:val="24"/>
              </w:rPr>
              <w:t>全省第一</w:t>
            </w:r>
          </w:p>
        </w:tc>
        <w:tc>
          <w:tcPr>
            <w:tcW w:w="1470" w:type="dxa"/>
            <w:vAlign w:val="center"/>
          </w:tcPr>
          <w:p w14:paraId="25CA29FF">
            <w:pPr>
              <w:spacing w:line="360" w:lineRule="auto"/>
              <w:jc w:val="center"/>
              <w:rPr>
                <w:rFonts w:ascii="宋体" w:hAnsi="宋体" w:cs="宋体"/>
                <w:kern w:val="0"/>
                <w:sz w:val="24"/>
              </w:rPr>
            </w:pPr>
            <w:r>
              <w:rPr>
                <w:rFonts w:hint="eastAsia" w:ascii="宋体" w:hAnsi="宋体" w:cs="宋体"/>
                <w:sz w:val="24"/>
              </w:rPr>
              <w:t>全省第一</w:t>
            </w:r>
          </w:p>
        </w:tc>
        <w:tc>
          <w:tcPr>
            <w:tcW w:w="1815" w:type="dxa"/>
            <w:vAlign w:val="center"/>
          </w:tcPr>
          <w:p w14:paraId="6AC9C1A7">
            <w:pPr>
              <w:spacing w:line="360" w:lineRule="auto"/>
              <w:jc w:val="center"/>
              <w:rPr>
                <w:rFonts w:ascii="宋体" w:hAnsi="宋体" w:cs="宋体"/>
                <w:kern w:val="0"/>
                <w:sz w:val="24"/>
              </w:rPr>
            </w:pPr>
            <w:r>
              <w:rPr>
                <w:rFonts w:hint="eastAsia" w:ascii="宋体" w:hAnsi="宋体" w:cs="宋体"/>
                <w:sz w:val="24"/>
              </w:rPr>
              <w:t>江苏绿色制造发展成效报告</w:t>
            </w:r>
          </w:p>
        </w:tc>
        <w:tc>
          <w:tcPr>
            <w:tcW w:w="1185" w:type="dxa"/>
            <w:vAlign w:val="center"/>
          </w:tcPr>
          <w:p w14:paraId="6A19468C">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0AFC594A">
            <w:pPr>
              <w:spacing w:line="360" w:lineRule="auto"/>
              <w:rPr>
                <w:rFonts w:ascii="宋体" w:hAnsi="宋体" w:cs="宋体"/>
                <w:kern w:val="0"/>
                <w:sz w:val="22"/>
              </w:rPr>
            </w:pPr>
          </w:p>
        </w:tc>
      </w:tr>
      <w:tr w14:paraId="6134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671B939A">
            <w:pPr>
              <w:spacing w:line="360" w:lineRule="auto"/>
              <w:jc w:val="center"/>
              <w:rPr>
                <w:rFonts w:ascii="宋体" w:hAnsi="宋体" w:cs="宋体"/>
                <w:kern w:val="0"/>
                <w:sz w:val="24"/>
              </w:rPr>
            </w:pPr>
          </w:p>
        </w:tc>
        <w:tc>
          <w:tcPr>
            <w:tcW w:w="1680" w:type="dxa"/>
            <w:vMerge w:val="continue"/>
            <w:vAlign w:val="center"/>
          </w:tcPr>
          <w:p w14:paraId="4A28E9F5">
            <w:pPr>
              <w:spacing w:line="360" w:lineRule="auto"/>
              <w:jc w:val="center"/>
              <w:rPr>
                <w:rFonts w:ascii="宋体" w:hAnsi="宋体" w:cs="宋体"/>
                <w:kern w:val="0"/>
                <w:sz w:val="24"/>
              </w:rPr>
            </w:pPr>
          </w:p>
        </w:tc>
        <w:tc>
          <w:tcPr>
            <w:tcW w:w="2025" w:type="dxa"/>
            <w:vAlign w:val="center"/>
          </w:tcPr>
          <w:p w14:paraId="4557484F">
            <w:pPr>
              <w:spacing w:line="360" w:lineRule="auto"/>
              <w:jc w:val="center"/>
              <w:rPr>
                <w:rFonts w:ascii="宋体" w:hAnsi="宋体" w:cs="宋体"/>
                <w:kern w:val="0"/>
                <w:sz w:val="24"/>
              </w:rPr>
            </w:pPr>
            <w:r>
              <w:rPr>
                <w:rFonts w:hint="eastAsia" w:ascii="宋体" w:hAnsi="宋体" w:cs="宋体"/>
                <w:sz w:val="24"/>
              </w:rPr>
              <w:t>累计扶持生物医药类企业数</w:t>
            </w:r>
          </w:p>
        </w:tc>
        <w:tc>
          <w:tcPr>
            <w:tcW w:w="1500" w:type="dxa"/>
            <w:vAlign w:val="center"/>
          </w:tcPr>
          <w:p w14:paraId="4332AABD">
            <w:pPr>
              <w:spacing w:line="360" w:lineRule="auto"/>
              <w:jc w:val="center"/>
              <w:rPr>
                <w:rFonts w:ascii="宋体" w:hAnsi="宋体" w:cs="宋体"/>
                <w:kern w:val="0"/>
                <w:sz w:val="24"/>
              </w:rPr>
            </w:pPr>
            <w:r>
              <w:rPr>
                <w:rFonts w:hint="eastAsia" w:ascii="宋体" w:hAnsi="宋体" w:cs="宋体"/>
                <w:sz w:val="24"/>
              </w:rPr>
              <w:t>=54家</w:t>
            </w:r>
          </w:p>
        </w:tc>
        <w:tc>
          <w:tcPr>
            <w:tcW w:w="1470" w:type="dxa"/>
            <w:vAlign w:val="center"/>
          </w:tcPr>
          <w:p w14:paraId="5D645EA5">
            <w:pPr>
              <w:spacing w:line="360" w:lineRule="auto"/>
              <w:jc w:val="center"/>
              <w:rPr>
                <w:rFonts w:ascii="宋体" w:hAnsi="宋体" w:cs="宋体"/>
                <w:kern w:val="0"/>
                <w:sz w:val="24"/>
              </w:rPr>
            </w:pPr>
            <w:r>
              <w:rPr>
                <w:rFonts w:hint="eastAsia" w:ascii="宋体" w:hAnsi="宋体" w:cs="宋体"/>
                <w:sz w:val="24"/>
              </w:rPr>
              <w:t>54家</w:t>
            </w:r>
          </w:p>
        </w:tc>
        <w:tc>
          <w:tcPr>
            <w:tcW w:w="1815" w:type="dxa"/>
            <w:vAlign w:val="center"/>
          </w:tcPr>
          <w:p w14:paraId="707AB28A">
            <w:pPr>
              <w:spacing w:line="360" w:lineRule="auto"/>
              <w:jc w:val="center"/>
              <w:rPr>
                <w:rFonts w:ascii="宋体" w:hAnsi="宋体" w:cs="宋体"/>
                <w:kern w:val="0"/>
                <w:sz w:val="24"/>
              </w:rPr>
            </w:pPr>
            <w:r>
              <w:rPr>
                <w:rFonts w:hint="eastAsia" w:ascii="宋体" w:hAnsi="宋体" w:cs="宋体"/>
                <w:sz w:val="24"/>
              </w:rPr>
              <w:t>专项资金下达文件</w:t>
            </w:r>
          </w:p>
        </w:tc>
        <w:tc>
          <w:tcPr>
            <w:tcW w:w="1185" w:type="dxa"/>
            <w:vAlign w:val="center"/>
          </w:tcPr>
          <w:p w14:paraId="1ED8A18E">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6FB02294">
            <w:pPr>
              <w:spacing w:line="360" w:lineRule="auto"/>
              <w:rPr>
                <w:rFonts w:ascii="宋体" w:hAnsi="宋体" w:cs="宋体"/>
                <w:kern w:val="0"/>
                <w:sz w:val="22"/>
              </w:rPr>
            </w:pPr>
          </w:p>
        </w:tc>
      </w:tr>
      <w:tr w14:paraId="72FD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2C81958D">
            <w:pPr>
              <w:spacing w:line="360" w:lineRule="auto"/>
              <w:jc w:val="center"/>
              <w:rPr>
                <w:rFonts w:ascii="宋体" w:hAnsi="宋体" w:cs="宋体"/>
                <w:kern w:val="0"/>
                <w:sz w:val="24"/>
              </w:rPr>
            </w:pPr>
          </w:p>
        </w:tc>
        <w:tc>
          <w:tcPr>
            <w:tcW w:w="1680" w:type="dxa"/>
            <w:vMerge w:val="continue"/>
            <w:vAlign w:val="center"/>
          </w:tcPr>
          <w:p w14:paraId="485E23F2">
            <w:pPr>
              <w:spacing w:line="360" w:lineRule="auto"/>
              <w:jc w:val="center"/>
              <w:rPr>
                <w:rFonts w:ascii="宋体" w:hAnsi="宋体" w:cs="宋体"/>
                <w:kern w:val="0"/>
                <w:sz w:val="24"/>
              </w:rPr>
            </w:pPr>
          </w:p>
        </w:tc>
        <w:tc>
          <w:tcPr>
            <w:tcW w:w="2025" w:type="dxa"/>
            <w:vAlign w:val="center"/>
          </w:tcPr>
          <w:p w14:paraId="4905C60F">
            <w:pPr>
              <w:spacing w:line="360" w:lineRule="auto"/>
              <w:jc w:val="center"/>
              <w:rPr>
                <w:rFonts w:ascii="宋体" w:hAnsi="宋体" w:cs="宋体"/>
                <w:kern w:val="0"/>
                <w:sz w:val="24"/>
              </w:rPr>
            </w:pPr>
            <w:r>
              <w:rPr>
                <w:rFonts w:hint="eastAsia" w:ascii="宋体" w:hAnsi="宋体" w:cs="宋体"/>
                <w:sz w:val="24"/>
              </w:rPr>
              <w:t>“苏州工信”微信公众号关注人数增长</w:t>
            </w:r>
          </w:p>
        </w:tc>
        <w:tc>
          <w:tcPr>
            <w:tcW w:w="1500" w:type="dxa"/>
            <w:vAlign w:val="center"/>
          </w:tcPr>
          <w:p w14:paraId="23E093DF">
            <w:pPr>
              <w:spacing w:line="360" w:lineRule="auto"/>
              <w:jc w:val="center"/>
              <w:rPr>
                <w:rFonts w:ascii="宋体" w:hAnsi="宋体" w:cs="宋体"/>
                <w:kern w:val="0"/>
                <w:sz w:val="24"/>
              </w:rPr>
            </w:pPr>
            <w:r>
              <w:rPr>
                <w:rFonts w:hint="eastAsia" w:ascii="宋体" w:hAnsi="宋体" w:cs="宋体"/>
                <w:sz w:val="24"/>
              </w:rPr>
              <w:t>&gt;=5000人</w:t>
            </w:r>
          </w:p>
        </w:tc>
        <w:tc>
          <w:tcPr>
            <w:tcW w:w="1470" w:type="dxa"/>
            <w:vAlign w:val="center"/>
          </w:tcPr>
          <w:p w14:paraId="752EBFD9">
            <w:pPr>
              <w:spacing w:line="360" w:lineRule="auto"/>
              <w:jc w:val="center"/>
              <w:rPr>
                <w:rFonts w:ascii="宋体" w:hAnsi="宋体" w:cs="宋体"/>
                <w:kern w:val="0"/>
                <w:sz w:val="24"/>
              </w:rPr>
            </w:pPr>
            <w:r>
              <w:rPr>
                <w:rFonts w:hint="eastAsia" w:ascii="宋体" w:hAnsi="宋体" w:cs="宋体"/>
                <w:sz w:val="24"/>
              </w:rPr>
              <w:t>5919人</w:t>
            </w:r>
          </w:p>
        </w:tc>
        <w:tc>
          <w:tcPr>
            <w:tcW w:w="1815" w:type="dxa"/>
            <w:vAlign w:val="center"/>
          </w:tcPr>
          <w:p w14:paraId="5B4C67D1">
            <w:pPr>
              <w:spacing w:line="360" w:lineRule="auto"/>
              <w:jc w:val="center"/>
              <w:rPr>
                <w:rFonts w:ascii="宋体" w:hAnsi="宋体" w:cs="宋体"/>
                <w:kern w:val="0"/>
                <w:sz w:val="24"/>
              </w:rPr>
            </w:pPr>
            <w:r>
              <w:rPr>
                <w:rFonts w:hint="eastAsia" w:ascii="宋体" w:hAnsi="宋体" w:cs="宋体"/>
                <w:sz w:val="24"/>
              </w:rPr>
              <w:t>验收报告</w:t>
            </w:r>
          </w:p>
        </w:tc>
        <w:tc>
          <w:tcPr>
            <w:tcW w:w="1185" w:type="dxa"/>
            <w:vAlign w:val="center"/>
          </w:tcPr>
          <w:p w14:paraId="6AB38F44">
            <w:pPr>
              <w:spacing w:line="360" w:lineRule="auto"/>
              <w:jc w:val="center"/>
              <w:rPr>
                <w:rFonts w:ascii="宋体" w:hAnsi="宋体" w:cs="宋体"/>
                <w:kern w:val="0"/>
                <w:sz w:val="24"/>
              </w:rPr>
            </w:pPr>
            <w:r>
              <w:rPr>
                <w:rFonts w:hint="eastAsia" w:ascii="宋体" w:hAnsi="宋体" w:cs="宋体"/>
                <w:sz w:val="24"/>
              </w:rPr>
              <w:t>18.38%</w:t>
            </w:r>
          </w:p>
        </w:tc>
        <w:tc>
          <w:tcPr>
            <w:tcW w:w="3248" w:type="dxa"/>
          </w:tcPr>
          <w:p w14:paraId="45227F5E">
            <w:pPr>
              <w:spacing w:line="360" w:lineRule="auto"/>
              <w:rPr>
                <w:rFonts w:ascii="宋体" w:hAnsi="宋体" w:cs="宋体"/>
                <w:kern w:val="0"/>
                <w:sz w:val="22"/>
              </w:rPr>
            </w:pPr>
          </w:p>
        </w:tc>
      </w:tr>
      <w:tr w14:paraId="6447A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0FFAF6E9">
            <w:pPr>
              <w:spacing w:line="360" w:lineRule="auto"/>
              <w:jc w:val="center"/>
              <w:rPr>
                <w:rFonts w:ascii="宋体" w:hAnsi="宋体" w:cs="宋体"/>
                <w:kern w:val="0"/>
                <w:sz w:val="24"/>
              </w:rPr>
            </w:pPr>
          </w:p>
        </w:tc>
        <w:tc>
          <w:tcPr>
            <w:tcW w:w="1680" w:type="dxa"/>
            <w:vMerge w:val="continue"/>
            <w:vAlign w:val="center"/>
          </w:tcPr>
          <w:p w14:paraId="06176ED8">
            <w:pPr>
              <w:spacing w:line="360" w:lineRule="auto"/>
              <w:jc w:val="center"/>
              <w:rPr>
                <w:rFonts w:ascii="宋体" w:hAnsi="宋体" w:cs="宋体"/>
                <w:kern w:val="0"/>
                <w:sz w:val="24"/>
              </w:rPr>
            </w:pPr>
          </w:p>
        </w:tc>
        <w:tc>
          <w:tcPr>
            <w:tcW w:w="2025" w:type="dxa"/>
            <w:vAlign w:val="center"/>
          </w:tcPr>
          <w:p w14:paraId="61D4B3F3">
            <w:pPr>
              <w:spacing w:line="360" w:lineRule="auto"/>
              <w:jc w:val="center"/>
              <w:rPr>
                <w:rFonts w:ascii="宋体" w:hAnsi="宋体" w:cs="宋体"/>
                <w:kern w:val="0"/>
                <w:sz w:val="24"/>
              </w:rPr>
            </w:pPr>
            <w:r>
              <w:rPr>
                <w:rFonts w:hint="eastAsia" w:ascii="宋体" w:hAnsi="宋体" w:cs="宋体"/>
                <w:sz w:val="24"/>
              </w:rPr>
              <w:t>促进化工产业高质量发展</w:t>
            </w:r>
          </w:p>
        </w:tc>
        <w:tc>
          <w:tcPr>
            <w:tcW w:w="1500" w:type="dxa"/>
            <w:vAlign w:val="center"/>
          </w:tcPr>
          <w:p w14:paraId="728EA5FE">
            <w:pPr>
              <w:spacing w:line="360" w:lineRule="auto"/>
              <w:jc w:val="center"/>
              <w:rPr>
                <w:rFonts w:ascii="宋体" w:hAnsi="宋体" w:cs="宋体"/>
                <w:kern w:val="0"/>
                <w:sz w:val="24"/>
              </w:rPr>
            </w:pPr>
            <w:r>
              <w:rPr>
                <w:rFonts w:hint="eastAsia" w:ascii="宋体" w:hAnsi="宋体" w:cs="宋体"/>
                <w:sz w:val="24"/>
              </w:rPr>
              <w:t>明显</w:t>
            </w:r>
          </w:p>
        </w:tc>
        <w:tc>
          <w:tcPr>
            <w:tcW w:w="1470" w:type="dxa"/>
            <w:vAlign w:val="center"/>
          </w:tcPr>
          <w:p w14:paraId="37155434">
            <w:pPr>
              <w:spacing w:line="360" w:lineRule="auto"/>
              <w:jc w:val="center"/>
              <w:rPr>
                <w:rFonts w:ascii="宋体" w:hAnsi="宋体" w:cs="宋体"/>
                <w:kern w:val="0"/>
                <w:sz w:val="24"/>
              </w:rPr>
            </w:pPr>
            <w:r>
              <w:rPr>
                <w:rFonts w:hint="eastAsia" w:ascii="宋体" w:hAnsi="宋体" w:cs="宋体"/>
                <w:sz w:val="24"/>
              </w:rPr>
              <w:t>明显</w:t>
            </w:r>
          </w:p>
        </w:tc>
        <w:tc>
          <w:tcPr>
            <w:tcW w:w="1815" w:type="dxa"/>
            <w:vAlign w:val="center"/>
          </w:tcPr>
          <w:p w14:paraId="74D34463">
            <w:pPr>
              <w:spacing w:line="360" w:lineRule="auto"/>
              <w:jc w:val="center"/>
              <w:rPr>
                <w:rFonts w:ascii="宋体" w:hAnsi="宋体" w:cs="宋体"/>
                <w:kern w:val="0"/>
                <w:sz w:val="24"/>
              </w:rPr>
            </w:pPr>
            <w:r>
              <w:rPr>
                <w:rFonts w:hint="eastAsia" w:ascii="宋体" w:hAnsi="宋体" w:cs="宋体"/>
                <w:sz w:val="24"/>
              </w:rPr>
              <w:t>统计局数据</w:t>
            </w:r>
          </w:p>
        </w:tc>
        <w:tc>
          <w:tcPr>
            <w:tcW w:w="1185" w:type="dxa"/>
            <w:vAlign w:val="center"/>
          </w:tcPr>
          <w:p w14:paraId="70A3751E">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30DC384C">
            <w:pPr>
              <w:spacing w:line="360" w:lineRule="auto"/>
              <w:rPr>
                <w:rFonts w:ascii="宋体" w:hAnsi="宋体" w:cs="宋体"/>
                <w:kern w:val="0"/>
                <w:sz w:val="22"/>
              </w:rPr>
            </w:pPr>
          </w:p>
        </w:tc>
      </w:tr>
      <w:tr w14:paraId="38206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1AFC568E">
            <w:pPr>
              <w:spacing w:line="360" w:lineRule="auto"/>
              <w:jc w:val="center"/>
              <w:rPr>
                <w:rFonts w:ascii="宋体" w:hAnsi="宋体" w:cs="宋体"/>
                <w:kern w:val="0"/>
                <w:sz w:val="24"/>
              </w:rPr>
            </w:pPr>
          </w:p>
        </w:tc>
        <w:tc>
          <w:tcPr>
            <w:tcW w:w="1680" w:type="dxa"/>
            <w:vMerge w:val="continue"/>
            <w:vAlign w:val="center"/>
          </w:tcPr>
          <w:p w14:paraId="60A609D7">
            <w:pPr>
              <w:spacing w:line="360" w:lineRule="auto"/>
              <w:jc w:val="center"/>
              <w:rPr>
                <w:rFonts w:ascii="宋体" w:hAnsi="宋体" w:cs="宋体"/>
                <w:kern w:val="0"/>
                <w:sz w:val="24"/>
              </w:rPr>
            </w:pPr>
          </w:p>
        </w:tc>
        <w:tc>
          <w:tcPr>
            <w:tcW w:w="2025" w:type="dxa"/>
            <w:vAlign w:val="center"/>
          </w:tcPr>
          <w:p w14:paraId="4CF0DE9A">
            <w:pPr>
              <w:spacing w:line="360" w:lineRule="auto"/>
              <w:jc w:val="center"/>
              <w:rPr>
                <w:rFonts w:ascii="宋体" w:hAnsi="宋体" w:cs="宋体"/>
                <w:kern w:val="0"/>
                <w:sz w:val="24"/>
              </w:rPr>
            </w:pPr>
            <w:r>
              <w:rPr>
                <w:rFonts w:hint="eastAsia" w:ascii="宋体" w:hAnsi="宋体" w:cs="宋体"/>
                <w:sz w:val="24"/>
              </w:rPr>
              <w:t>软件业务收入全省排名</w:t>
            </w:r>
          </w:p>
        </w:tc>
        <w:tc>
          <w:tcPr>
            <w:tcW w:w="1500" w:type="dxa"/>
            <w:vAlign w:val="center"/>
          </w:tcPr>
          <w:p w14:paraId="33605EF1">
            <w:pPr>
              <w:spacing w:line="360" w:lineRule="auto"/>
              <w:jc w:val="center"/>
              <w:rPr>
                <w:rFonts w:ascii="宋体" w:hAnsi="宋体" w:cs="宋体"/>
                <w:kern w:val="0"/>
                <w:sz w:val="24"/>
              </w:rPr>
            </w:pPr>
            <w:r>
              <w:rPr>
                <w:rFonts w:hint="eastAsia" w:ascii="宋体" w:hAnsi="宋体" w:cs="宋体"/>
                <w:sz w:val="24"/>
              </w:rPr>
              <w:t>全省前三</w:t>
            </w:r>
          </w:p>
        </w:tc>
        <w:tc>
          <w:tcPr>
            <w:tcW w:w="1470" w:type="dxa"/>
            <w:vAlign w:val="center"/>
          </w:tcPr>
          <w:p w14:paraId="7CD6B2CA">
            <w:pPr>
              <w:spacing w:line="360" w:lineRule="auto"/>
              <w:jc w:val="center"/>
              <w:rPr>
                <w:rFonts w:ascii="宋体" w:hAnsi="宋体" w:cs="宋体"/>
                <w:kern w:val="0"/>
                <w:sz w:val="24"/>
              </w:rPr>
            </w:pPr>
            <w:r>
              <w:rPr>
                <w:rFonts w:hint="eastAsia" w:ascii="宋体" w:hAnsi="宋体" w:cs="宋体"/>
                <w:sz w:val="24"/>
              </w:rPr>
              <w:t>全省前三</w:t>
            </w:r>
          </w:p>
        </w:tc>
        <w:tc>
          <w:tcPr>
            <w:tcW w:w="1815" w:type="dxa"/>
            <w:vAlign w:val="center"/>
          </w:tcPr>
          <w:p w14:paraId="7FB51807">
            <w:pPr>
              <w:spacing w:line="360" w:lineRule="auto"/>
              <w:jc w:val="center"/>
              <w:rPr>
                <w:rFonts w:ascii="宋体" w:hAnsi="宋体" w:cs="宋体"/>
                <w:kern w:val="0"/>
                <w:sz w:val="24"/>
              </w:rPr>
            </w:pPr>
            <w:r>
              <w:rPr>
                <w:rFonts w:hint="eastAsia" w:ascii="宋体" w:hAnsi="宋体" w:cs="宋体"/>
                <w:sz w:val="24"/>
              </w:rPr>
              <w:t>江苏软件与信息服务业年鉴2024</w:t>
            </w:r>
          </w:p>
        </w:tc>
        <w:tc>
          <w:tcPr>
            <w:tcW w:w="1185" w:type="dxa"/>
            <w:vAlign w:val="center"/>
          </w:tcPr>
          <w:p w14:paraId="5AE63B0A">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13EAD55D">
            <w:pPr>
              <w:spacing w:line="360" w:lineRule="auto"/>
              <w:rPr>
                <w:rFonts w:ascii="宋体" w:hAnsi="宋体" w:cs="宋体"/>
                <w:kern w:val="0"/>
                <w:sz w:val="22"/>
              </w:rPr>
            </w:pPr>
          </w:p>
        </w:tc>
      </w:tr>
      <w:tr w14:paraId="59DEE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4A4B35AB">
            <w:pPr>
              <w:spacing w:line="360" w:lineRule="auto"/>
              <w:jc w:val="center"/>
              <w:rPr>
                <w:rFonts w:ascii="宋体" w:hAnsi="宋体" w:cs="宋体"/>
                <w:kern w:val="0"/>
                <w:sz w:val="24"/>
              </w:rPr>
            </w:pPr>
          </w:p>
        </w:tc>
        <w:tc>
          <w:tcPr>
            <w:tcW w:w="1680" w:type="dxa"/>
            <w:vMerge w:val="continue"/>
            <w:vAlign w:val="center"/>
          </w:tcPr>
          <w:p w14:paraId="78DCC096">
            <w:pPr>
              <w:spacing w:line="360" w:lineRule="auto"/>
              <w:jc w:val="center"/>
              <w:rPr>
                <w:rFonts w:ascii="宋体" w:hAnsi="宋体" w:cs="宋体"/>
                <w:kern w:val="0"/>
                <w:sz w:val="24"/>
              </w:rPr>
            </w:pPr>
          </w:p>
        </w:tc>
        <w:tc>
          <w:tcPr>
            <w:tcW w:w="2025" w:type="dxa"/>
            <w:vAlign w:val="center"/>
          </w:tcPr>
          <w:p w14:paraId="7631596F">
            <w:pPr>
              <w:spacing w:line="360" w:lineRule="auto"/>
              <w:jc w:val="center"/>
              <w:rPr>
                <w:rFonts w:ascii="宋体" w:hAnsi="宋体" w:cs="宋体"/>
                <w:kern w:val="0"/>
                <w:sz w:val="24"/>
              </w:rPr>
            </w:pPr>
            <w:r>
              <w:rPr>
                <w:rFonts w:hint="eastAsia" w:ascii="宋体" w:hAnsi="宋体" w:cs="宋体"/>
                <w:sz w:val="24"/>
              </w:rPr>
              <w:t>兼并重组项目实际出资额大于1000万比率</w:t>
            </w:r>
          </w:p>
        </w:tc>
        <w:tc>
          <w:tcPr>
            <w:tcW w:w="1500" w:type="dxa"/>
            <w:vAlign w:val="center"/>
          </w:tcPr>
          <w:p w14:paraId="3073561D">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5EA4AB0E">
            <w:pPr>
              <w:spacing w:line="360" w:lineRule="auto"/>
              <w:jc w:val="center"/>
              <w:rPr>
                <w:rFonts w:ascii="宋体" w:hAnsi="宋体" w:cs="宋体"/>
                <w:kern w:val="0"/>
                <w:sz w:val="24"/>
              </w:rPr>
            </w:pPr>
            <w:r>
              <w:rPr>
                <w:rFonts w:hint="eastAsia" w:ascii="宋体" w:hAnsi="宋体" w:cs="宋体"/>
                <w:sz w:val="24"/>
              </w:rPr>
              <w:t>100%</w:t>
            </w:r>
          </w:p>
        </w:tc>
        <w:tc>
          <w:tcPr>
            <w:tcW w:w="1815" w:type="dxa"/>
            <w:vAlign w:val="center"/>
          </w:tcPr>
          <w:p w14:paraId="5C2AFE91">
            <w:pPr>
              <w:spacing w:line="360" w:lineRule="auto"/>
              <w:jc w:val="center"/>
              <w:rPr>
                <w:rFonts w:ascii="宋体" w:hAnsi="宋体" w:cs="宋体"/>
                <w:kern w:val="0"/>
                <w:sz w:val="24"/>
              </w:rPr>
            </w:pPr>
            <w:r>
              <w:rPr>
                <w:rFonts w:hint="eastAsia" w:ascii="宋体" w:hAnsi="宋体" w:cs="宋体"/>
                <w:sz w:val="24"/>
              </w:rPr>
              <w:t>资金下达文件</w:t>
            </w:r>
          </w:p>
        </w:tc>
        <w:tc>
          <w:tcPr>
            <w:tcW w:w="1185" w:type="dxa"/>
            <w:vAlign w:val="center"/>
          </w:tcPr>
          <w:p w14:paraId="7FC67EAF">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07BE6B1A">
            <w:pPr>
              <w:spacing w:line="360" w:lineRule="auto"/>
              <w:rPr>
                <w:rFonts w:ascii="宋体" w:hAnsi="宋体" w:cs="宋体"/>
                <w:kern w:val="0"/>
                <w:sz w:val="22"/>
              </w:rPr>
            </w:pPr>
          </w:p>
        </w:tc>
      </w:tr>
      <w:tr w14:paraId="3021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04AFC03A">
            <w:pPr>
              <w:spacing w:line="360" w:lineRule="auto"/>
              <w:jc w:val="center"/>
              <w:rPr>
                <w:rFonts w:ascii="宋体" w:hAnsi="宋体" w:cs="宋体"/>
                <w:kern w:val="0"/>
                <w:sz w:val="24"/>
              </w:rPr>
            </w:pPr>
          </w:p>
        </w:tc>
        <w:tc>
          <w:tcPr>
            <w:tcW w:w="1680" w:type="dxa"/>
            <w:vMerge w:val="continue"/>
            <w:vAlign w:val="center"/>
          </w:tcPr>
          <w:p w14:paraId="4E89DC28">
            <w:pPr>
              <w:spacing w:line="360" w:lineRule="auto"/>
              <w:jc w:val="center"/>
              <w:rPr>
                <w:rFonts w:ascii="宋体" w:hAnsi="宋体" w:cs="宋体"/>
                <w:kern w:val="0"/>
                <w:sz w:val="24"/>
              </w:rPr>
            </w:pPr>
          </w:p>
        </w:tc>
        <w:tc>
          <w:tcPr>
            <w:tcW w:w="2025" w:type="dxa"/>
            <w:vAlign w:val="center"/>
          </w:tcPr>
          <w:p w14:paraId="7DAD4128">
            <w:pPr>
              <w:spacing w:line="360" w:lineRule="auto"/>
              <w:jc w:val="center"/>
              <w:rPr>
                <w:rFonts w:ascii="宋体" w:hAnsi="宋体" w:cs="宋体"/>
                <w:kern w:val="0"/>
                <w:sz w:val="24"/>
              </w:rPr>
            </w:pPr>
            <w:r>
              <w:rPr>
                <w:rFonts w:hint="eastAsia" w:ascii="宋体" w:hAnsi="宋体" w:cs="宋体"/>
                <w:sz w:val="24"/>
              </w:rPr>
              <w:t>单位规上工业增加值能耗下降</w:t>
            </w:r>
          </w:p>
        </w:tc>
        <w:tc>
          <w:tcPr>
            <w:tcW w:w="1500" w:type="dxa"/>
            <w:vAlign w:val="center"/>
          </w:tcPr>
          <w:p w14:paraId="3EC1C08B">
            <w:pPr>
              <w:spacing w:line="360" w:lineRule="auto"/>
              <w:jc w:val="center"/>
              <w:rPr>
                <w:rFonts w:ascii="宋体" w:hAnsi="宋体" w:cs="宋体"/>
                <w:kern w:val="0"/>
                <w:sz w:val="24"/>
              </w:rPr>
            </w:pPr>
            <w:r>
              <w:rPr>
                <w:rFonts w:hint="eastAsia" w:ascii="宋体" w:hAnsi="宋体" w:cs="宋体"/>
                <w:sz w:val="24"/>
              </w:rPr>
              <w:t>有序下降</w:t>
            </w:r>
          </w:p>
        </w:tc>
        <w:tc>
          <w:tcPr>
            <w:tcW w:w="1470" w:type="dxa"/>
            <w:vAlign w:val="center"/>
          </w:tcPr>
          <w:p w14:paraId="211AA045">
            <w:pPr>
              <w:spacing w:line="360" w:lineRule="auto"/>
              <w:jc w:val="center"/>
              <w:rPr>
                <w:rFonts w:ascii="宋体" w:hAnsi="宋体" w:cs="宋体"/>
                <w:kern w:val="0"/>
                <w:sz w:val="24"/>
              </w:rPr>
            </w:pPr>
            <w:r>
              <w:rPr>
                <w:rFonts w:hint="eastAsia" w:ascii="宋体" w:hAnsi="宋体" w:cs="宋体"/>
                <w:sz w:val="24"/>
              </w:rPr>
              <w:t>有序下降</w:t>
            </w:r>
          </w:p>
        </w:tc>
        <w:tc>
          <w:tcPr>
            <w:tcW w:w="1815" w:type="dxa"/>
            <w:vAlign w:val="center"/>
          </w:tcPr>
          <w:p w14:paraId="4AE27B35">
            <w:pPr>
              <w:spacing w:line="360" w:lineRule="auto"/>
              <w:jc w:val="center"/>
              <w:rPr>
                <w:rFonts w:ascii="宋体" w:hAnsi="宋体" w:cs="宋体"/>
                <w:kern w:val="0"/>
                <w:sz w:val="24"/>
              </w:rPr>
            </w:pPr>
            <w:r>
              <w:rPr>
                <w:rFonts w:hint="eastAsia" w:ascii="宋体" w:hAnsi="宋体" w:cs="宋体"/>
                <w:sz w:val="24"/>
              </w:rPr>
              <w:t>统计局数据</w:t>
            </w:r>
          </w:p>
        </w:tc>
        <w:tc>
          <w:tcPr>
            <w:tcW w:w="1185" w:type="dxa"/>
            <w:vAlign w:val="center"/>
          </w:tcPr>
          <w:p w14:paraId="73326F60">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5FFE7CA9">
            <w:pPr>
              <w:spacing w:line="360" w:lineRule="auto"/>
              <w:rPr>
                <w:rFonts w:ascii="宋体" w:hAnsi="宋体" w:cs="宋体"/>
                <w:kern w:val="0"/>
                <w:sz w:val="22"/>
              </w:rPr>
            </w:pPr>
          </w:p>
        </w:tc>
      </w:tr>
      <w:tr w14:paraId="776D9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3B0882C3">
            <w:pPr>
              <w:spacing w:line="360" w:lineRule="auto"/>
              <w:jc w:val="center"/>
              <w:rPr>
                <w:rFonts w:ascii="宋体" w:hAnsi="宋体" w:cs="宋体"/>
                <w:kern w:val="0"/>
                <w:sz w:val="24"/>
              </w:rPr>
            </w:pPr>
          </w:p>
        </w:tc>
        <w:tc>
          <w:tcPr>
            <w:tcW w:w="1680" w:type="dxa"/>
            <w:vMerge w:val="restart"/>
            <w:vAlign w:val="center"/>
          </w:tcPr>
          <w:p w14:paraId="540693FA">
            <w:pPr>
              <w:spacing w:line="360" w:lineRule="auto"/>
              <w:jc w:val="center"/>
              <w:rPr>
                <w:rFonts w:ascii="宋体" w:hAnsi="宋体" w:cs="宋体"/>
                <w:kern w:val="0"/>
                <w:sz w:val="24"/>
              </w:rPr>
            </w:pPr>
            <w:r>
              <w:rPr>
                <w:rFonts w:hint="eastAsia" w:ascii="宋体" w:hAnsi="宋体" w:cs="宋体"/>
                <w:sz w:val="24"/>
              </w:rPr>
              <w:t>满意度</w:t>
            </w:r>
          </w:p>
        </w:tc>
        <w:tc>
          <w:tcPr>
            <w:tcW w:w="2025" w:type="dxa"/>
            <w:vAlign w:val="center"/>
          </w:tcPr>
          <w:p w14:paraId="2281CC1B">
            <w:pPr>
              <w:spacing w:line="360" w:lineRule="auto"/>
              <w:jc w:val="center"/>
              <w:rPr>
                <w:rFonts w:ascii="宋体" w:hAnsi="宋体" w:cs="宋体"/>
                <w:kern w:val="0"/>
                <w:sz w:val="24"/>
              </w:rPr>
            </w:pPr>
            <w:r>
              <w:rPr>
                <w:rFonts w:hint="eastAsia" w:ascii="宋体" w:hAnsi="宋体" w:cs="宋体"/>
                <w:sz w:val="24"/>
              </w:rPr>
              <w:t>智能制造被诊断企业对诊断服务满意度</w:t>
            </w:r>
          </w:p>
        </w:tc>
        <w:tc>
          <w:tcPr>
            <w:tcW w:w="1500" w:type="dxa"/>
            <w:vAlign w:val="center"/>
          </w:tcPr>
          <w:p w14:paraId="25C47D82">
            <w:pPr>
              <w:spacing w:line="360" w:lineRule="auto"/>
              <w:jc w:val="center"/>
              <w:rPr>
                <w:rFonts w:ascii="宋体" w:hAnsi="宋体" w:cs="宋体"/>
                <w:kern w:val="0"/>
                <w:sz w:val="24"/>
              </w:rPr>
            </w:pPr>
            <w:r>
              <w:rPr>
                <w:rFonts w:hint="eastAsia" w:ascii="宋体" w:hAnsi="宋体" w:cs="宋体"/>
                <w:sz w:val="24"/>
              </w:rPr>
              <w:t>&gt;=85%</w:t>
            </w:r>
          </w:p>
        </w:tc>
        <w:tc>
          <w:tcPr>
            <w:tcW w:w="1470" w:type="dxa"/>
            <w:vAlign w:val="center"/>
          </w:tcPr>
          <w:p w14:paraId="68315193">
            <w:pPr>
              <w:spacing w:line="360" w:lineRule="auto"/>
              <w:jc w:val="center"/>
              <w:rPr>
                <w:rFonts w:ascii="宋体" w:hAnsi="宋体" w:cs="宋体"/>
                <w:kern w:val="0"/>
                <w:sz w:val="24"/>
              </w:rPr>
            </w:pPr>
            <w:r>
              <w:rPr>
                <w:rFonts w:hint="eastAsia" w:ascii="宋体" w:hAnsi="宋体" w:cs="宋体"/>
                <w:sz w:val="24"/>
              </w:rPr>
              <w:t>95%</w:t>
            </w:r>
          </w:p>
        </w:tc>
        <w:tc>
          <w:tcPr>
            <w:tcW w:w="1815" w:type="dxa"/>
            <w:vAlign w:val="center"/>
          </w:tcPr>
          <w:p w14:paraId="471A6A5A">
            <w:pPr>
              <w:spacing w:line="360" w:lineRule="auto"/>
              <w:jc w:val="center"/>
              <w:rPr>
                <w:rFonts w:ascii="宋体" w:hAnsi="宋体" w:cs="宋体"/>
                <w:kern w:val="0"/>
                <w:sz w:val="24"/>
              </w:rPr>
            </w:pPr>
            <w:r>
              <w:rPr>
                <w:rFonts w:hint="eastAsia" w:ascii="宋体" w:hAnsi="宋体" w:cs="宋体"/>
                <w:sz w:val="24"/>
              </w:rPr>
              <w:t>诊断服务项目监理报告</w:t>
            </w:r>
          </w:p>
        </w:tc>
        <w:tc>
          <w:tcPr>
            <w:tcW w:w="1185" w:type="dxa"/>
            <w:vAlign w:val="center"/>
          </w:tcPr>
          <w:p w14:paraId="3AD1927A">
            <w:pPr>
              <w:spacing w:line="360" w:lineRule="auto"/>
              <w:jc w:val="center"/>
              <w:rPr>
                <w:rFonts w:ascii="宋体" w:hAnsi="宋体" w:cs="宋体"/>
                <w:kern w:val="0"/>
                <w:sz w:val="24"/>
              </w:rPr>
            </w:pPr>
            <w:r>
              <w:rPr>
                <w:rFonts w:hint="eastAsia" w:ascii="宋体" w:hAnsi="宋体" w:cs="宋体"/>
                <w:sz w:val="24"/>
              </w:rPr>
              <w:t>11.76%</w:t>
            </w:r>
          </w:p>
        </w:tc>
        <w:tc>
          <w:tcPr>
            <w:tcW w:w="3248" w:type="dxa"/>
          </w:tcPr>
          <w:p w14:paraId="00D7AC94">
            <w:pPr>
              <w:spacing w:line="360" w:lineRule="auto"/>
              <w:rPr>
                <w:rFonts w:ascii="宋体" w:hAnsi="宋体" w:cs="宋体"/>
                <w:kern w:val="0"/>
                <w:sz w:val="22"/>
              </w:rPr>
            </w:pPr>
          </w:p>
        </w:tc>
      </w:tr>
      <w:tr w14:paraId="6F1C7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0C2796C8">
            <w:pPr>
              <w:spacing w:line="360" w:lineRule="auto"/>
              <w:jc w:val="center"/>
              <w:rPr>
                <w:rFonts w:ascii="宋体" w:hAnsi="宋体" w:cs="宋体"/>
                <w:kern w:val="0"/>
                <w:sz w:val="24"/>
              </w:rPr>
            </w:pPr>
          </w:p>
        </w:tc>
        <w:tc>
          <w:tcPr>
            <w:tcW w:w="1680" w:type="dxa"/>
            <w:vMerge w:val="continue"/>
            <w:vAlign w:val="center"/>
          </w:tcPr>
          <w:p w14:paraId="6188B40A">
            <w:pPr>
              <w:spacing w:line="360" w:lineRule="auto"/>
              <w:jc w:val="center"/>
              <w:rPr>
                <w:rFonts w:ascii="宋体" w:hAnsi="宋体" w:cs="宋体"/>
                <w:kern w:val="0"/>
                <w:sz w:val="24"/>
              </w:rPr>
            </w:pPr>
          </w:p>
        </w:tc>
        <w:tc>
          <w:tcPr>
            <w:tcW w:w="2025" w:type="dxa"/>
            <w:vAlign w:val="center"/>
          </w:tcPr>
          <w:p w14:paraId="1B792550">
            <w:pPr>
              <w:spacing w:line="360" w:lineRule="auto"/>
              <w:jc w:val="center"/>
              <w:rPr>
                <w:rFonts w:ascii="宋体" w:hAnsi="宋体" w:cs="宋体"/>
                <w:kern w:val="0"/>
                <w:sz w:val="24"/>
              </w:rPr>
            </w:pPr>
            <w:r>
              <w:rPr>
                <w:rFonts w:hint="eastAsia" w:ascii="宋体" w:hAnsi="宋体" w:cs="宋体"/>
                <w:sz w:val="24"/>
              </w:rPr>
              <w:t>增资扩产被奖补企业满意度</w:t>
            </w:r>
          </w:p>
        </w:tc>
        <w:tc>
          <w:tcPr>
            <w:tcW w:w="1500" w:type="dxa"/>
            <w:vAlign w:val="center"/>
          </w:tcPr>
          <w:p w14:paraId="6472D474">
            <w:pPr>
              <w:spacing w:line="360" w:lineRule="auto"/>
              <w:jc w:val="center"/>
              <w:rPr>
                <w:rFonts w:ascii="宋体" w:hAnsi="宋体" w:cs="宋体"/>
                <w:kern w:val="0"/>
                <w:sz w:val="24"/>
              </w:rPr>
            </w:pPr>
            <w:r>
              <w:rPr>
                <w:rFonts w:hint="eastAsia" w:ascii="宋体" w:hAnsi="宋体" w:cs="宋体"/>
                <w:sz w:val="24"/>
              </w:rPr>
              <w:t>&gt;=95%</w:t>
            </w:r>
          </w:p>
        </w:tc>
        <w:tc>
          <w:tcPr>
            <w:tcW w:w="1470" w:type="dxa"/>
            <w:vAlign w:val="center"/>
          </w:tcPr>
          <w:p w14:paraId="185999A2">
            <w:pPr>
              <w:spacing w:line="360" w:lineRule="auto"/>
              <w:jc w:val="center"/>
              <w:rPr>
                <w:rFonts w:ascii="宋体" w:hAnsi="宋体" w:cs="宋体"/>
                <w:kern w:val="0"/>
                <w:sz w:val="24"/>
              </w:rPr>
            </w:pPr>
            <w:r>
              <w:rPr>
                <w:rFonts w:hint="eastAsia" w:ascii="宋体" w:hAnsi="宋体" w:cs="宋体"/>
                <w:sz w:val="24"/>
              </w:rPr>
              <w:t>97.9%</w:t>
            </w:r>
          </w:p>
        </w:tc>
        <w:tc>
          <w:tcPr>
            <w:tcW w:w="1815" w:type="dxa"/>
            <w:vAlign w:val="center"/>
          </w:tcPr>
          <w:p w14:paraId="68ACBD33">
            <w:pPr>
              <w:spacing w:line="360" w:lineRule="auto"/>
              <w:jc w:val="center"/>
              <w:rPr>
                <w:rFonts w:ascii="宋体" w:hAnsi="宋体" w:cs="宋体"/>
                <w:kern w:val="0"/>
                <w:sz w:val="24"/>
              </w:rPr>
            </w:pPr>
            <w:r>
              <w:rPr>
                <w:rFonts w:hint="eastAsia" w:ascii="宋体" w:hAnsi="宋体" w:cs="宋体"/>
                <w:sz w:val="24"/>
              </w:rPr>
              <w:t>满意度调查报告</w:t>
            </w:r>
          </w:p>
        </w:tc>
        <w:tc>
          <w:tcPr>
            <w:tcW w:w="1185" w:type="dxa"/>
            <w:vAlign w:val="center"/>
          </w:tcPr>
          <w:p w14:paraId="08E596F8">
            <w:pPr>
              <w:spacing w:line="360" w:lineRule="auto"/>
              <w:jc w:val="center"/>
              <w:rPr>
                <w:rFonts w:ascii="宋体" w:hAnsi="宋体" w:cs="宋体"/>
                <w:kern w:val="0"/>
                <w:sz w:val="24"/>
              </w:rPr>
            </w:pPr>
            <w:r>
              <w:rPr>
                <w:rFonts w:hint="eastAsia" w:ascii="宋体" w:hAnsi="宋体" w:cs="宋体"/>
                <w:sz w:val="24"/>
              </w:rPr>
              <w:t>3.05%</w:t>
            </w:r>
          </w:p>
        </w:tc>
        <w:tc>
          <w:tcPr>
            <w:tcW w:w="3248" w:type="dxa"/>
          </w:tcPr>
          <w:p w14:paraId="5B99DBCE">
            <w:pPr>
              <w:spacing w:line="360" w:lineRule="auto"/>
              <w:rPr>
                <w:rFonts w:ascii="宋体" w:hAnsi="宋体" w:cs="宋体"/>
                <w:kern w:val="0"/>
                <w:sz w:val="22"/>
              </w:rPr>
            </w:pPr>
          </w:p>
        </w:tc>
      </w:tr>
      <w:tr w14:paraId="6ABD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53C79FAC">
            <w:pPr>
              <w:spacing w:line="360" w:lineRule="auto"/>
              <w:jc w:val="center"/>
              <w:rPr>
                <w:rFonts w:ascii="宋体" w:hAnsi="宋体" w:cs="宋体"/>
                <w:kern w:val="0"/>
                <w:sz w:val="24"/>
              </w:rPr>
            </w:pPr>
          </w:p>
        </w:tc>
        <w:tc>
          <w:tcPr>
            <w:tcW w:w="1680" w:type="dxa"/>
            <w:vMerge w:val="restart"/>
            <w:vAlign w:val="center"/>
          </w:tcPr>
          <w:p w14:paraId="07D843E4">
            <w:pPr>
              <w:spacing w:line="360" w:lineRule="auto"/>
              <w:jc w:val="center"/>
              <w:rPr>
                <w:rFonts w:ascii="宋体" w:hAnsi="宋体" w:cs="宋体"/>
                <w:kern w:val="0"/>
                <w:sz w:val="24"/>
              </w:rPr>
            </w:pPr>
            <w:r>
              <w:rPr>
                <w:rFonts w:hint="eastAsia" w:ascii="宋体" w:hAnsi="宋体" w:cs="宋体"/>
                <w:sz w:val="24"/>
              </w:rPr>
              <w:t>履职</w:t>
            </w:r>
          </w:p>
        </w:tc>
        <w:tc>
          <w:tcPr>
            <w:tcW w:w="2025" w:type="dxa"/>
            <w:vAlign w:val="center"/>
          </w:tcPr>
          <w:p w14:paraId="53335866">
            <w:pPr>
              <w:spacing w:line="360" w:lineRule="auto"/>
              <w:jc w:val="center"/>
              <w:rPr>
                <w:rFonts w:ascii="宋体" w:hAnsi="宋体" w:cs="宋体"/>
                <w:kern w:val="0"/>
                <w:sz w:val="24"/>
              </w:rPr>
            </w:pPr>
            <w:r>
              <w:rPr>
                <w:rFonts w:hint="eastAsia" w:ascii="宋体" w:hAnsi="宋体" w:cs="宋体"/>
                <w:sz w:val="24"/>
              </w:rPr>
              <w:t>组织对国家单项冠军企业项目实施奖励</w:t>
            </w:r>
          </w:p>
        </w:tc>
        <w:tc>
          <w:tcPr>
            <w:tcW w:w="1500" w:type="dxa"/>
            <w:vAlign w:val="center"/>
          </w:tcPr>
          <w:p w14:paraId="28E19F50">
            <w:pPr>
              <w:spacing w:line="360" w:lineRule="auto"/>
              <w:jc w:val="center"/>
              <w:rPr>
                <w:rFonts w:ascii="宋体" w:hAnsi="宋体" w:cs="宋体"/>
                <w:kern w:val="0"/>
                <w:sz w:val="24"/>
              </w:rPr>
            </w:pPr>
            <w:r>
              <w:rPr>
                <w:rFonts w:hint="eastAsia" w:ascii="宋体" w:hAnsi="宋体" w:cs="宋体"/>
                <w:sz w:val="24"/>
              </w:rPr>
              <w:t>=1批次</w:t>
            </w:r>
          </w:p>
        </w:tc>
        <w:tc>
          <w:tcPr>
            <w:tcW w:w="1470" w:type="dxa"/>
            <w:vAlign w:val="center"/>
          </w:tcPr>
          <w:p w14:paraId="55E60CE4">
            <w:pPr>
              <w:spacing w:line="360" w:lineRule="auto"/>
              <w:jc w:val="center"/>
              <w:rPr>
                <w:rFonts w:ascii="宋体" w:hAnsi="宋体" w:cs="宋体"/>
                <w:kern w:val="0"/>
                <w:sz w:val="24"/>
              </w:rPr>
            </w:pPr>
            <w:r>
              <w:rPr>
                <w:rFonts w:hint="eastAsia" w:ascii="宋体" w:hAnsi="宋体" w:cs="宋体"/>
                <w:sz w:val="24"/>
              </w:rPr>
              <w:t>1批次</w:t>
            </w:r>
          </w:p>
        </w:tc>
        <w:tc>
          <w:tcPr>
            <w:tcW w:w="1815" w:type="dxa"/>
            <w:vAlign w:val="center"/>
          </w:tcPr>
          <w:p w14:paraId="23356B32">
            <w:pPr>
              <w:spacing w:line="360" w:lineRule="auto"/>
              <w:jc w:val="center"/>
              <w:rPr>
                <w:rFonts w:ascii="宋体" w:hAnsi="宋体" w:cs="宋体"/>
                <w:kern w:val="0"/>
                <w:sz w:val="24"/>
              </w:rPr>
            </w:pPr>
            <w:r>
              <w:rPr>
                <w:rFonts w:hint="eastAsia" w:ascii="宋体" w:hAnsi="宋体" w:cs="宋体"/>
                <w:sz w:val="24"/>
              </w:rPr>
              <w:t>开展企业推荐申报和复核评价的通知</w:t>
            </w:r>
          </w:p>
        </w:tc>
        <w:tc>
          <w:tcPr>
            <w:tcW w:w="1185" w:type="dxa"/>
            <w:vAlign w:val="center"/>
          </w:tcPr>
          <w:p w14:paraId="6B5E9521">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1E578759">
            <w:pPr>
              <w:spacing w:line="360" w:lineRule="auto"/>
              <w:rPr>
                <w:rFonts w:ascii="宋体" w:hAnsi="宋体" w:cs="宋体"/>
                <w:kern w:val="0"/>
                <w:sz w:val="22"/>
              </w:rPr>
            </w:pPr>
          </w:p>
        </w:tc>
      </w:tr>
      <w:tr w14:paraId="2E33E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64F94042">
            <w:pPr>
              <w:spacing w:line="360" w:lineRule="auto"/>
              <w:jc w:val="center"/>
              <w:rPr>
                <w:rFonts w:ascii="宋体" w:hAnsi="宋体" w:cs="宋体"/>
                <w:kern w:val="0"/>
                <w:sz w:val="24"/>
              </w:rPr>
            </w:pPr>
          </w:p>
        </w:tc>
        <w:tc>
          <w:tcPr>
            <w:tcW w:w="1680" w:type="dxa"/>
            <w:vMerge w:val="continue"/>
            <w:vAlign w:val="center"/>
          </w:tcPr>
          <w:p w14:paraId="462043D2">
            <w:pPr>
              <w:spacing w:line="360" w:lineRule="auto"/>
              <w:jc w:val="center"/>
              <w:rPr>
                <w:rFonts w:ascii="宋体" w:hAnsi="宋体" w:cs="宋体"/>
                <w:kern w:val="0"/>
                <w:sz w:val="24"/>
              </w:rPr>
            </w:pPr>
          </w:p>
        </w:tc>
        <w:tc>
          <w:tcPr>
            <w:tcW w:w="2025" w:type="dxa"/>
            <w:vAlign w:val="center"/>
          </w:tcPr>
          <w:p w14:paraId="11AA526F">
            <w:pPr>
              <w:spacing w:line="360" w:lineRule="auto"/>
              <w:jc w:val="center"/>
              <w:rPr>
                <w:rFonts w:ascii="宋体" w:hAnsi="宋体" w:cs="宋体"/>
                <w:kern w:val="0"/>
                <w:sz w:val="24"/>
              </w:rPr>
            </w:pPr>
            <w:r>
              <w:rPr>
                <w:rFonts w:hint="eastAsia" w:ascii="宋体" w:hAnsi="宋体" w:cs="宋体"/>
                <w:sz w:val="24"/>
              </w:rPr>
              <w:t>市级打造先进制造业基地专项资金下达率</w:t>
            </w:r>
          </w:p>
        </w:tc>
        <w:tc>
          <w:tcPr>
            <w:tcW w:w="1500" w:type="dxa"/>
            <w:vAlign w:val="center"/>
          </w:tcPr>
          <w:p w14:paraId="013CD7AB">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1EF4F4DE">
            <w:pPr>
              <w:spacing w:line="360" w:lineRule="auto"/>
              <w:jc w:val="center"/>
              <w:rPr>
                <w:rFonts w:ascii="宋体" w:hAnsi="宋体" w:cs="宋体"/>
                <w:kern w:val="0"/>
                <w:sz w:val="24"/>
              </w:rPr>
            </w:pPr>
            <w:r>
              <w:rPr>
                <w:rFonts w:hint="eastAsia" w:ascii="宋体" w:hAnsi="宋体" w:cs="宋体"/>
                <w:sz w:val="24"/>
              </w:rPr>
              <w:t>100%</w:t>
            </w:r>
          </w:p>
        </w:tc>
        <w:tc>
          <w:tcPr>
            <w:tcW w:w="1815" w:type="dxa"/>
            <w:vAlign w:val="center"/>
          </w:tcPr>
          <w:p w14:paraId="0647EF76">
            <w:pPr>
              <w:spacing w:line="360" w:lineRule="auto"/>
              <w:jc w:val="center"/>
              <w:rPr>
                <w:rFonts w:ascii="宋体" w:hAnsi="宋体" w:cs="宋体"/>
                <w:kern w:val="0"/>
                <w:sz w:val="24"/>
              </w:rPr>
            </w:pPr>
            <w:r>
              <w:rPr>
                <w:rFonts w:hint="eastAsia" w:ascii="宋体" w:hAnsi="宋体" w:cs="宋体"/>
                <w:sz w:val="24"/>
              </w:rPr>
              <w:t>上级及本级文件、相关工作台账</w:t>
            </w:r>
          </w:p>
        </w:tc>
        <w:tc>
          <w:tcPr>
            <w:tcW w:w="1185" w:type="dxa"/>
            <w:vAlign w:val="center"/>
          </w:tcPr>
          <w:p w14:paraId="1BD68C96">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2A6AA35F">
            <w:pPr>
              <w:spacing w:line="360" w:lineRule="auto"/>
              <w:rPr>
                <w:rFonts w:ascii="宋体" w:hAnsi="宋体" w:cs="宋体"/>
                <w:kern w:val="0"/>
                <w:sz w:val="22"/>
              </w:rPr>
            </w:pPr>
          </w:p>
        </w:tc>
      </w:tr>
      <w:tr w14:paraId="120D1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756E8FB2">
            <w:pPr>
              <w:spacing w:line="360" w:lineRule="auto"/>
              <w:jc w:val="center"/>
              <w:rPr>
                <w:rFonts w:ascii="宋体" w:hAnsi="宋体" w:cs="宋体"/>
                <w:kern w:val="0"/>
                <w:sz w:val="24"/>
              </w:rPr>
            </w:pPr>
          </w:p>
        </w:tc>
        <w:tc>
          <w:tcPr>
            <w:tcW w:w="1680" w:type="dxa"/>
            <w:vMerge w:val="continue"/>
            <w:vAlign w:val="center"/>
          </w:tcPr>
          <w:p w14:paraId="2C3BF460">
            <w:pPr>
              <w:spacing w:line="360" w:lineRule="auto"/>
              <w:jc w:val="center"/>
              <w:rPr>
                <w:rFonts w:ascii="宋体" w:hAnsi="宋体" w:cs="宋体"/>
                <w:kern w:val="0"/>
                <w:sz w:val="24"/>
              </w:rPr>
            </w:pPr>
          </w:p>
        </w:tc>
        <w:tc>
          <w:tcPr>
            <w:tcW w:w="2025" w:type="dxa"/>
            <w:vAlign w:val="center"/>
          </w:tcPr>
          <w:p w14:paraId="2322E825">
            <w:pPr>
              <w:spacing w:line="360" w:lineRule="auto"/>
              <w:jc w:val="center"/>
              <w:rPr>
                <w:rFonts w:ascii="宋体" w:hAnsi="宋体" w:cs="宋体"/>
                <w:kern w:val="0"/>
                <w:sz w:val="24"/>
              </w:rPr>
            </w:pPr>
            <w:r>
              <w:rPr>
                <w:rFonts w:hint="eastAsia" w:ascii="宋体" w:hAnsi="宋体" w:cs="宋体"/>
                <w:sz w:val="24"/>
              </w:rPr>
              <w:t>节能审查意见出具率</w:t>
            </w:r>
          </w:p>
        </w:tc>
        <w:tc>
          <w:tcPr>
            <w:tcW w:w="1500" w:type="dxa"/>
            <w:vAlign w:val="center"/>
          </w:tcPr>
          <w:p w14:paraId="75C74F9C">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4C306E95">
            <w:pPr>
              <w:spacing w:line="360" w:lineRule="auto"/>
              <w:jc w:val="center"/>
              <w:rPr>
                <w:rFonts w:ascii="宋体" w:hAnsi="宋体" w:cs="宋体"/>
                <w:kern w:val="0"/>
                <w:sz w:val="24"/>
              </w:rPr>
            </w:pPr>
            <w:r>
              <w:rPr>
                <w:rFonts w:hint="eastAsia" w:ascii="宋体" w:hAnsi="宋体" w:cs="宋体"/>
                <w:sz w:val="24"/>
              </w:rPr>
              <w:t>100%</w:t>
            </w:r>
          </w:p>
        </w:tc>
        <w:tc>
          <w:tcPr>
            <w:tcW w:w="1815" w:type="dxa"/>
            <w:vAlign w:val="center"/>
          </w:tcPr>
          <w:p w14:paraId="7B589C39">
            <w:pPr>
              <w:spacing w:line="360" w:lineRule="auto"/>
              <w:jc w:val="center"/>
              <w:rPr>
                <w:rFonts w:ascii="宋体" w:hAnsi="宋体" w:cs="宋体"/>
                <w:kern w:val="0"/>
                <w:sz w:val="24"/>
              </w:rPr>
            </w:pPr>
            <w:r>
              <w:rPr>
                <w:rFonts w:hint="eastAsia" w:ascii="宋体" w:hAnsi="宋体" w:cs="宋体"/>
                <w:sz w:val="24"/>
              </w:rPr>
              <w:t>节能审查意见</w:t>
            </w:r>
          </w:p>
        </w:tc>
        <w:tc>
          <w:tcPr>
            <w:tcW w:w="1185" w:type="dxa"/>
            <w:vAlign w:val="center"/>
          </w:tcPr>
          <w:p w14:paraId="11310FBC">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3257FF5F">
            <w:pPr>
              <w:spacing w:line="360" w:lineRule="auto"/>
              <w:rPr>
                <w:rFonts w:ascii="宋体" w:hAnsi="宋体" w:cs="宋体"/>
                <w:kern w:val="0"/>
                <w:sz w:val="22"/>
              </w:rPr>
            </w:pPr>
          </w:p>
        </w:tc>
      </w:tr>
      <w:tr w14:paraId="69EEC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449E5988">
            <w:pPr>
              <w:spacing w:line="360" w:lineRule="auto"/>
              <w:jc w:val="center"/>
              <w:rPr>
                <w:rFonts w:ascii="宋体" w:hAnsi="宋体" w:cs="宋体"/>
                <w:kern w:val="0"/>
                <w:sz w:val="24"/>
              </w:rPr>
            </w:pPr>
          </w:p>
        </w:tc>
        <w:tc>
          <w:tcPr>
            <w:tcW w:w="1680" w:type="dxa"/>
            <w:vMerge w:val="continue"/>
            <w:vAlign w:val="center"/>
          </w:tcPr>
          <w:p w14:paraId="58BE0D30">
            <w:pPr>
              <w:spacing w:line="360" w:lineRule="auto"/>
              <w:jc w:val="center"/>
              <w:rPr>
                <w:rFonts w:ascii="宋体" w:hAnsi="宋体" w:cs="宋体"/>
                <w:kern w:val="0"/>
                <w:sz w:val="24"/>
              </w:rPr>
            </w:pPr>
          </w:p>
        </w:tc>
        <w:tc>
          <w:tcPr>
            <w:tcW w:w="2025" w:type="dxa"/>
            <w:vAlign w:val="center"/>
          </w:tcPr>
          <w:p w14:paraId="72087288">
            <w:pPr>
              <w:spacing w:line="360" w:lineRule="auto"/>
              <w:jc w:val="center"/>
              <w:rPr>
                <w:rFonts w:ascii="宋体" w:hAnsi="宋体" w:cs="宋体"/>
                <w:kern w:val="0"/>
                <w:sz w:val="24"/>
              </w:rPr>
            </w:pPr>
            <w:r>
              <w:rPr>
                <w:rFonts w:hint="eastAsia" w:ascii="宋体" w:hAnsi="宋体" w:cs="宋体"/>
                <w:sz w:val="24"/>
              </w:rPr>
              <w:t>组织苏州相关企业参加全国软件博览会</w:t>
            </w:r>
          </w:p>
        </w:tc>
        <w:tc>
          <w:tcPr>
            <w:tcW w:w="1500" w:type="dxa"/>
            <w:vAlign w:val="center"/>
          </w:tcPr>
          <w:p w14:paraId="5D91E910">
            <w:pPr>
              <w:spacing w:line="360" w:lineRule="auto"/>
              <w:jc w:val="center"/>
              <w:rPr>
                <w:rFonts w:ascii="宋体" w:hAnsi="宋体" w:cs="宋体"/>
                <w:kern w:val="0"/>
                <w:sz w:val="24"/>
              </w:rPr>
            </w:pPr>
            <w:r>
              <w:rPr>
                <w:rFonts w:hint="eastAsia" w:ascii="宋体" w:hAnsi="宋体" w:cs="宋体"/>
                <w:sz w:val="24"/>
              </w:rPr>
              <w:t>=2次</w:t>
            </w:r>
          </w:p>
        </w:tc>
        <w:tc>
          <w:tcPr>
            <w:tcW w:w="1470" w:type="dxa"/>
            <w:vAlign w:val="center"/>
          </w:tcPr>
          <w:p w14:paraId="5C6C1B4D">
            <w:pPr>
              <w:spacing w:line="360" w:lineRule="auto"/>
              <w:jc w:val="center"/>
              <w:rPr>
                <w:rFonts w:ascii="宋体" w:hAnsi="宋体" w:cs="宋体"/>
                <w:kern w:val="0"/>
                <w:sz w:val="24"/>
              </w:rPr>
            </w:pPr>
            <w:r>
              <w:rPr>
                <w:rFonts w:hint="eastAsia" w:ascii="宋体" w:hAnsi="宋体" w:cs="宋体"/>
                <w:sz w:val="24"/>
              </w:rPr>
              <w:t>2次</w:t>
            </w:r>
          </w:p>
        </w:tc>
        <w:tc>
          <w:tcPr>
            <w:tcW w:w="1815" w:type="dxa"/>
            <w:vAlign w:val="center"/>
          </w:tcPr>
          <w:p w14:paraId="03FAA15A">
            <w:pPr>
              <w:spacing w:line="360" w:lineRule="auto"/>
              <w:jc w:val="center"/>
              <w:rPr>
                <w:rFonts w:ascii="宋体" w:hAnsi="宋体" w:cs="宋体"/>
                <w:kern w:val="0"/>
                <w:sz w:val="24"/>
              </w:rPr>
            </w:pPr>
            <w:r>
              <w:rPr>
                <w:rFonts w:hint="eastAsia" w:ascii="宋体" w:hAnsi="宋体" w:cs="宋体"/>
                <w:sz w:val="24"/>
              </w:rPr>
              <w:t>参会邀请通知</w:t>
            </w:r>
          </w:p>
        </w:tc>
        <w:tc>
          <w:tcPr>
            <w:tcW w:w="1185" w:type="dxa"/>
            <w:vAlign w:val="center"/>
          </w:tcPr>
          <w:p w14:paraId="57586172">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29FD5A1C">
            <w:pPr>
              <w:spacing w:line="360" w:lineRule="auto"/>
              <w:rPr>
                <w:rFonts w:ascii="宋体" w:hAnsi="宋体" w:cs="宋体"/>
                <w:kern w:val="0"/>
                <w:sz w:val="22"/>
              </w:rPr>
            </w:pPr>
          </w:p>
        </w:tc>
      </w:tr>
      <w:tr w14:paraId="460C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7C130421">
            <w:pPr>
              <w:spacing w:line="360" w:lineRule="auto"/>
              <w:jc w:val="center"/>
              <w:rPr>
                <w:rFonts w:ascii="宋体" w:hAnsi="宋体" w:cs="宋体"/>
                <w:kern w:val="0"/>
                <w:sz w:val="24"/>
              </w:rPr>
            </w:pPr>
          </w:p>
        </w:tc>
        <w:tc>
          <w:tcPr>
            <w:tcW w:w="1680" w:type="dxa"/>
            <w:vMerge w:val="continue"/>
            <w:vAlign w:val="center"/>
          </w:tcPr>
          <w:p w14:paraId="6E7DE00E">
            <w:pPr>
              <w:spacing w:line="360" w:lineRule="auto"/>
              <w:jc w:val="center"/>
              <w:rPr>
                <w:rFonts w:ascii="宋体" w:hAnsi="宋体" w:cs="宋体"/>
                <w:kern w:val="0"/>
                <w:sz w:val="24"/>
              </w:rPr>
            </w:pPr>
          </w:p>
        </w:tc>
        <w:tc>
          <w:tcPr>
            <w:tcW w:w="2025" w:type="dxa"/>
            <w:vAlign w:val="center"/>
          </w:tcPr>
          <w:p w14:paraId="7DD3D9E5">
            <w:pPr>
              <w:spacing w:line="360" w:lineRule="auto"/>
              <w:jc w:val="center"/>
              <w:rPr>
                <w:rFonts w:ascii="宋体" w:hAnsi="宋体" w:cs="宋体"/>
                <w:kern w:val="0"/>
                <w:sz w:val="24"/>
              </w:rPr>
            </w:pPr>
            <w:r>
              <w:rPr>
                <w:rFonts w:hint="eastAsia" w:ascii="宋体" w:hAnsi="宋体" w:cs="宋体"/>
                <w:sz w:val="24"/>
              </w:rPr>
              <w:t>组织申报2023年省级中小企业公共服务示范平台批次</w:t>
            </w:r>
          </w:p>
        </w:tc>
        <w:tc>
          <w:tcPr>
            <w:tcW w:w="1500" w:type="dxa"/>
            <w:vAlign w:val="center"/>
          </w:tcPr>
          <w:p w14:paraId="5C37A13B">
            <w:pPr>
              <w:spacing w:line="360" w:lineRule="auto"/>
              <w:jc w:val="center"/>
              <w:rPr>
                <w:rFonts w:ascii="宋体" w:hAnsi="宋体" w:cs="宋体"/>
                <w:kern w:val="0"/>
                <w:sz w:val="24"/>
              </w:rPr>
            </w:pPr>
            <w:r>
              <w:rPr>
                <w:rFonts w:hint="eastAsia" w:ascii="宋体" w:hAnsi="宋体" w:cs="宋体"/>
                <w:sz w:val="24"/>
              </w:rPr>
              <w:t>=1批次</w:t>
            </w:r>
          </w:p>
        </w:tc>
        <w:tc>
          <w:tcPr>
            <w:tcW w:w="1470" w:type="dxa"/>
            <w:vAlign w:val="center"/>
          </w:tcPr>
          <w:p w14:paraId="004A2600">
            <w:pPr>
              <w:spacing w:line="360" w:lineRule="auto"/>
              <w:jc w:val="center"/>
              <w:rPr>
                <w:rFonts w:ascii="宋体" w:hAnsi="宋体" w:cs="宋体"/>
                <w:kern w:val="0"/>
                <w:sz w:val="24"/>
              </w:rPr>
            </w:pPr>
            <w:r>
              <w:rPr>
                <w:rFonts w:hint="eastAsia" w:ascii="宋体" w:hAnsi="宋体" w:cs="宋体"/>
                <w:sz w:val="24"/>
              </w:rPr>
              <w:t>1批次</w:t>
            </w:r>
          </w:p>
        </w:tc>
        <w:tc>
          <w:tcPr>
            <w:tcW w:w="1815" w:type="dxa"/>
            <w:vAlign w:val="center"/>
          </w:tcPr>
          <w:p w14:paraId="7092C8A5">
            <w:pPr>
              <w:spacing w:line="360" w:lineRule="auto"/>
              <w:jc w:val="center"/>
              <w:rPr>
                <w:rFonts w:ascii="宋体" w:hAnsi="宋体" w:cs="宋体"/>
                <w:kern w:val="0"/>
                <w:sz w:val="24"/>
              </w:rPr>
            </w:pPr>
            <w:r>
              <w:rPr>
                <w:rFonts w:hint="eastAsia" w:ascii="宋体" w:hAnsi="宋体" w:cs="宋体"/>
                <w:sz w:val="24"/>
              </w:rPr>
              <w:t>认定文件</w:t>
            </w:r>
          </w:p>
        </w:tc>
        <w:tc>
          <w:tcPr>
            <w:tcW w:w="1185" w:type="dxa"/>
            <w:vAlign w:val="center"/>
          </w:tcPr>
          <w:p w14:paraId="2B203F7D">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7EFBE844">
            <w:pPr>
              <w:spacing w:line="360" w:lineRule="auto"/>
              <w:rPr>
                <w:rFonts w:ascii="宋体" w:hAnsi="宋体" w:cs="宋体"/>
                <w:kern w:val="0"/>
                <w:sz w:val="22"/>
              </w:rPr>
            </w:pPr>
          </w:p>
        </w:tc>
      </w:tr>
      <w:tr w14:paraId="3FFCB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360FD966">
            <w:pPr>
              <w:spacing w:line="360" w:lineRule="auto"/>
              <w:jc w:val="center"/>
              <w:rPr>
                <w:rFonts w:ascii="宋体" w:hAnsi="宋体" w:cs="宋体"/>
                <w:kern w:val="0"/>
                <w:sz w:val="24"/>
              </w:rPr>
            </w:pPr>
          </w:p>
        </w:tc>
        <w:tc>
          <w:tcPr>
            <w:tcW w:w="1680" w:type="dxa"/>
            <w:vMerge w:val="continue"/>
            <w:vAlign w:val="center"/>
          </w:tcPr>
          <w:p w14:paraId="15CAB4D9">
            <w:pPr>
              <w:spacing w:line="360" w:lineRule="auto"/>
              <w:jc w:val="center"/>
              <w:rPr>
                <w:rFonts w:ascii="宋体" w:hAnsi="宋体" w:cs="宋体"/>
                <w:kern w:val="0"/>
                <w:sz w:val="24"/>
              </w:rPr>
            </w:pPr>
          </w:p>
        </w:tc>
        <w:tc>
          <w:tcPr>
            <w:tcW w:w="2025" w:type="dxa"/>
            <w:vAlign w:val="center"/>
          </w:tcPr>
          <w:p w14:paraId="25A0AF16">
            <w:pPr>
              <w:spacing w:line="360" w:lineRule="auto"/>
              <w:jc w:val="center"/>
              <w:rPr>
                <w:rFonts w:ascii="宋体" w:hAnsi="宋体" w:cs="宋体"/>
                <w:kern w:val="0"/>
                <w:sz w:val="24"/>
              </w:rPr>
            </w:pPr>
            <w:r>
              <w:rPr>
                <w:rFonts w:hint="eastAsia" w:ascii="宋体" w:hAnsi="宋体" w:cs="宋体"/>
                <w:sz w:val="24"/>
              </w:rPr>
              <w:t>举办丝绸服装服饰设计大赛比赛场次</w:t>
            </w:r>
          </w:p>
        </w:tc>
        <w:tc>
          <w:tcPr>
            <w:tcW w:w="1500" w:type="dxa"/>
            <w:vAlign w:val="center"/>
          </w:tcPr>
          <w:p w14:paraId="589F4114">
            <w:pPr>
              <w:spacing w:line="360" w:lineRule="auto"/>
              <w:jc w:val="center"/>
              <w:rPr>
                <w:rFonts w:ascii="宋体" w:hAnsi="宋体" w:cs="宋体"/>
                <w:kern w:val="0"/>
                <w:sz w:val="24"/>
              </w:rPr>
            </w:pPr>
            <w:r>
              <w:rPr>
                <w:rFonts w:hint="eastAsia" w:ascii="宋体" w:hAnsi="宋体" w:cs="宋体"/>
                <w:sz w:val="24"/>
              </w:rPr>
              <w:t>=1场</w:t>
            </w:r>
          </w:p>
        </w:tc>
        <w:tc>
          <w:tcPr>
            <w:tcW w:w="1470" w:type="dxa"/>
            <w:vAlign w:val="center"/>
          </w:tcPr>
          <w:p w14:paraId="57ADD6B9">
            <w:pPr>
              <w:spacing w:line="360" w:lineRule="auto"/>
              <w:jc w:val="center"/>
              <w:rPr>
                <w:rFonts w:ascii="宋体" w:hAnsi="宋体" w:cs="宋体"/>
                <w:kern w:val="0"/>
                <w:sz w:val="24"/>
              </w:rPr>
            </w:pPr>
            <w:r>
              <w:rPr>
                <w:rFonts w:hint="eastAsia" w:ascii="宋体" w:hAnsi="宋体" w:cs="宋体"/>
                <w:sz w:val="24"/>
              </w:rPr>
              <w:t>1场</w:t>
            </w:r>
          </w:p>
        </w:tc>
        <w:tc>
          <w:tcPr>
            <w:tcW w:w="1815" w:type="dxa"/>
            <w:vAlign w:val="center"/>
          </w:tcPr>
          <w:p w14:paraId="6F31E8C8">
            <w:pPr>
              <w:spacing w:line="360" w:lineRule="auto"/>
              <w:jc w:val="center"/>
              <w:rPr>
                <w:rFonts w:ascii="宋体" w:hAnsi="宋体" w:cs="宋体"/>
                <w:kern w:val="0"/>
                <w:sz w:val="24"/>
              </w:rPr>
            </w:pPr>
            <w:r>
              <w:rPr>
                <w:rFonts w:hint="eastAsia" w:ascii="宋体" w:hAnsi="宋体" w:cs="宋体"/>
                <w:sz w:val="24"/>
              </w:rPr>
              <w:t>专项审计报告</w:t>
            </w:r>
          </w:p>
        </w:tc>
        <w:tc>
          <w:tcPr>
            <w:tcW w:w="1185" w:type="dxa"/>
            <w:vAlign w:val="center"/>
          </w:tcPr>
          <w:p w14:paraId="3EE4EFDC">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4B8C01EF">
            <w:pPr>
              <w:spacing w:line="360" w:lineRule="auto"/>
              <w:rPr>
                <w:rFonts w:ascii="宋体" w:hAnsi="宋体" w:cs="宋体"/>
                <w:kern w:val="0"/>
                <w:sz w:val="22"/>
              </w:rPr>
            </w:pPr>
          </w:p>
        </w:tc>
      </w:tr>
      <w:tr w14:paraId="75CB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2C856374">
            <w:pPr>
              <w:spacing w:line="360" w:lineRule="auto"/>
              <w:jc w:val="center"/>
              <w:rPr>
                <w:rFonts w:ascii="宋体" w:hAnsi="宋体" w:cs="宋体"/>
                <w:kern w:val="0"/>
                <w:sz w:val="24"/>
              </w:rPr>
            </w:pPr>
          </w:p>
        </w:tc>
        <w:tc>
          <w:tcPr>
            <w:tcW w:w="1680" w:type="dxa"/>
            <w:vMerge w:val="continue"/>
            <w:vAlign w:val="center"/>
          </w:tcPr>
          <w:p w14:paraId="72F07837">
            <w:pPr>
              <w:spacing w:line="360" w:lineRule="auto"/>
              <w:jc w:val="center"/>
              <w:rPr>
                <w:rFonts w:ascii="宋体" w:hAnsi="宋体" w:cs="宋体"/>
                <w:kern w:val="0"/>
                <w:sz w:val="24"/>
              </w:rPr>
            </w:pPr>
          </w:p>
        </w:tc>
        <w:tc>
          <w:tcPr>
            <w:tcW w:w="2025" w:type="dxa"/>
            <w:vAlign w:val="center"/>
          </w:tcPr>
          <w:p w14:paraId="547213A3">
            <w:pPr>
              <w:spacing w:line="360" w:lineRule="auto"/>
              <w:jc w:val="center"/>
              <w:rPr>
                <w:rFonts w:ascii="宋体" w:hAnsi="宋体" w:cs="宋体"/>
                <w:kern w:val="0"/>
                <w:sz w:val="24"/>
              </w:rPr>
            </w:pPr>
            <w:r>
              <w:rPr>
                <w:rFonts w:hint="eastAsia" w:ascii="宋体" w:hAnsi="宋体" w:cs="宋体"/>
                <w:sz w:val="24"/>
              </w:rPr>
              <w:t>2024年度频率占用费征收额</w:t>
            </w:r>
          </w:p>
        </w:tc>
        <w:tc>
          <w:tcPr>
            <w:tcW w:w="1500" w:type="dxa"/>
            <w:vAlign w:val="center"/>
          </w:tcPr>
          <w:p w14:paraId="3803BF2C">
            <w:pPr>
              <w:spacing w:line="360" w:lineRule="auto"/>
              <w:jc w:val="center"/>
              <w:rPr>
                <w:rFonts w:hint="eastAsia" w:ascii="宋体" w:hAnsi="宋体" w:eastAsia="宋体" w:cs="宋体"/>
                <w:kern w:val="0"/>
                <w:sz w:val="24"/>
                <w:lang w:eastAsia="zh-CN"/>
              </w:rPr>
            </w:pPr>
            <w:r>
              <w:rPr>
                <w:rFonts w:hint="eastAsia" w:ascii="宋体" w:hAnsi="宋体" w:cs="宋体"/>
                <w:sz w:val="24"/>
              </w:rPr>
              <w:t>&gt;=195</w:t>
            </w:r>
            <w:r>
              <w:rPr>
                <w:rFonts w:hint="eastAsia" w:ascii="宋体" w:hAnsi="宋体" w:cs="宋体"/>
                <w:sz w:val="24"/>
                <w:lang w:eastAsia="zh-CN"/>
              </w:rPr>
              <w:t>万元</w:t>
            </w:r>
          </w:p>
        </w:tc>
        <w:tc>
          <w:tcPr>
            <w:tcW w:w="1470" w:type="dxa"/>
            <w:vAlign w:val="center"/>
          </w:tcPr>
          <w:p w14:paraId="794DD5C6">
            <w:pPr>
              <w:spacing w:line="360" w:lineRule="auto"/>
              <w:jc w:val="center"/>
              <w:rPr>
                <w:rFonts w:ascii="宋体" w:hAnsi="宋体" w:cs="宋体"/>
                <w:kern w:val="0"/>
                <w:sz w:val="24"/>
              </w:rPr>
            </w:pPr>
            <w:r>
              <w:rPr>
                <w:rFonts w:hint="eastAsia" w:ascii="宋体" w:hAnsi="宋体" w:cs="宋体"/>
                <w:sz w:val="24"/>
              </w:rPr>
              <w:t>224万元</w:t>
            </w:r>
          </w:p>
        </w:tc>
        <w:tc>
          <w:tcPr>
            <w:tcW w:w="1815" w:type="dxa"/>
            <w:vAlign w:val="center"/>
          </w:tcPr>
          <w:p w14:paraId="33BBB925">
            <w:pPr>
              <w:spacing w:line="360" w:lineRule="auto"/>
              <w:jc w:val="center"/>
              <w:rPr>
                <w:rFonts w:ascii="宋体" w:hAnsi="宋体" w:cs="宋体"/>
                <w:kern w:val="0"/>
                <w:sz w:val="24"/>
              </w:rPr>
            </w:pPr>
            <w:r>
              <w:rPr>
                <w:rFonts w:hint="eastAsia" w:ascii="宋体" w:hAnsi="宋体" w:cs="宋体"/>
                <w:sz w:val="24"/>
              </w:rPr>
              <w:t>市非税管理系统</w:t>
            </w:r>
          </w:p>
        </w:tc>
        <w:tc>
          <w:tcPr>
            <w:tcW w:w="1185" w:type="dxa"/>
            <w:vAlign w:val="center"/>
          </w:tcPr>
          <w:p w14:paraId="404CA061">
            <w:pPr>
              <w:spacing w:line="360" w:lineRule="auto"/>
              <w:jc w:val="center"/>
              <w:rPr>
                <w:rFonts w:ascii="宋体" w:hAnsi="宋体" w:cs="宋体"/>
                <w:kern w:val="0"/>
                <w:sz w:val="24"/>
              </w:rPr>
            </w:pPr>
            <w:r>
              <w:rPr>
                <w:rFonts w:hint="eastAsia" w:ascii="宋体" w:hAnsi="宋体" w:cs="宋体"/>
                <w:sz w:val="24"/>
              </w:rPr>
              <w:t>14.87%</w:t>
            </w:r>
          </w:p>
        </w:tc>
        <w:tc>
          <w:tcPr>
            <w:tcW w:w="3248" w:type="dxa"/>
          </w:tcPr>
          <w:p w14:paraId="7CABF456">
            <w:pPr>
              <w:spacing w:line="360" w:lineRule="auto"/>
              <w:rPr>
                <w:rFonts w:ascii="宋体" w:hAnsi="宋体" w:cs="宋体"/>
                <w:kern w:val="0"/>
                <w:sz w:val="22"/>
              </w:rPr>
            </w:pPr>
          </w:p>
        </w:tc>
      </w:tr>
      <w:tr w14:paraId="2F7A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4EDC9BC1">
            <w:pPr>
              <w:spacing w:line="360" w:lineRule="auto"/>
              <w:jc w:val="center"/>
              <w:rPr>
                <w:rFonts w:ascii="宋体" w:hAnsi="宋体" w:cs="宋体"/>
                <w:kern w:val="0"/>
                <w:sz w:val="24"/>
              </w:rPr>
            </w:pPr>
          </w:p>
        </w:tc>
        <w:tc>
          <w:tcPr>
            <w:tcW w:w="1680" w:type="dxa"/>
            <w:vMerge w:val="continue"/>
            <w:vAlign w:val="center"/>
          </w:tcPr>
          <w:p w14:paraId="66EE7E62">
            <w:pPr>
              <w:spacing w:line="360" w:lineRule="auto"/>
              <w:jc w:val="center"/>
              <w:rPr>
                <w:rFonts w:ascii="宋体" w:hAnsi="宋体" w:cs="宋体"/>
                <w:kern w:val="0"/>
                <w:sz w:val="24"/>
              </w:rPr>
            </w:pPr>
          </w:p>
        </w:tc>
        <w:tc>
          <w:tcPr>
            <w:tcW w:w="2025" w:type="dxa"/>
            <w:vAlign w:val="center"/>
          </w:tcPr>
          <w:p w14:paraId="49473B95">
            <w:pPr>
              <w:spacing w:line="360" w:lineRule="auto"/>
              <w:jc w:val="center"/>
              <w:rPr>
                <w:rFonts w:ascii="宋体" w:hAnsi="宋体" w:cs="宋体"/>
                <w:kern w:val="0"/>
                <w:sz w:val="24"/>
              </w:rPr>
            </w:pPr>
            <w:r>
              <w:rPr>
                <w:rFonts w:hint="eastAsia" w:ascii="宋体" w:hAnsi="宋体" w:cs="宋体"/>
                <w:sz w:val="24"/>
              </w:rPr>
              <w:t>无线电频率的规划和指配，核发无线电台执照及电台识别码（含呼号）</w:t>
            </w:r>
          </w:p>
        </w:tc>
        <w:tc>
          <w:tcPr>
            <w:tcW w:w="1500" w:type="dxa"/>
            <w:vAlign w:val="center"/>
          </w:tcPr>
          <w:p w14:paraId="102BA8C0">
            <w:pPr>
              <w:spacing w:line="360" w:lineRule="auto"/>
              <w:jc w:val="center"/>
              <w:rPr>
                <w:rFonts w:ascii="宋体" w:hAnsi="宋体" w:cs="宋体"/>
                <w:kern w:val="0"/>
                <w:sz w:val="24"/>
              </w:rPr>
            </w:pPr>
            <w:r>
              <w:rPr>
                <w:rFonts w:hint="eastAsia" w:ascii="宋体" w:hAnsi="宋体" w:cs="宋体"/>
                <w:sz w:val="24"/>
              </w:rPr>
              <w:t>有序开展</w:t>
            </w:r>
          </w:p>
        </w:tc>
        <w:tc>
          <w:tcPr>
            <w:tcW w:w="1470" w:type="dxa"/>
            <w:vAlign w:val="center"/>
          </w:tcPr>
          <w:p w14:paraId="7DCE1A9E">
            <w:pPr>
              <w:spacing w:line="360" w:lineRule="auto"/>
              <w:jc w:val="center"/>
              <w:rPr>
                <w:rFonts w:ascii="宋体" w:hAnsi="宋体" w:cs="宋体"/>
                <w:kern w:val="0"/>
                <w:sz w:val="24"/>
              </w:rPr>
            </w:pPr>
            <w:r>
              <w:rPr>
                <w:rFonts w:hint="eastAsia" w:ascii="宋体" w:hAnsi="宋体" w:cs="宋体"/>
                <w:sz w:val="24"/>
              </w:rPr>
              <w:t>有序开展</w:t>
            </w:r>
          </w:p>
        </w:tc>
        <w:tc>
          <w:tcPr>
            <w:tcW w:w="1815" w:type="dxa"/>
            <w:vAlign w:val="center"/>
          </w:tcPr>
          <w:p w14:paraId="20EE0A72">
            <w:pPr>
              <w:spacing w:line="360" w:lineRule="auto"/>
              <w:jc w:val="center"/>
              <w:rPr>
                <w:rFonts w:ascii="宋体" w:hAnsi="宋体" w:cs="宋体"/>
                <w:kern w:val="0"/>
                <w:sz w:val="24"/>
              </w:rPr>
            </w:pPr>
            <w:r>
              <w:rPr>
                <w:rFonts w:hint="eastAsia" w:ascii="宋体" w:hAnsi="宋体" w:cs="宋体"/>
                <w:sz w:val="24"/>
              </w:rPr>
              <w:t>工作台账、工作总结</w:t>
            </w:r>
          </w:p>
        </w:tc>
        <w:tc>
          <w:tcPr>
            <w:tcW w:w="1185" w:type="dxa"/>
            <w:vAlign w:val="center"/>
          </w:tcPr>
          <w:p w14:paraId="12487745">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143E0459">
            <w:pPr>
              <w:spacing w:line="360" w:lineRule="auto"/>
              <w:rPr>
                <w:rFonts w:ascii="宋体" w:hAnsi="宋体" w:cs="宋体"/>
                <w:kern w:val="0"/>
                <w:sz w:val="22"/>
              </w:rPr>
            </w:pPr>
          </w:p>
        </w:tc>
      </w:tr>
      <w:tr w14:paraId="07F50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6B23B7F0">
            <w:pPr>
              <w:spacing w:line="360" w:lineRule="auto"/>
              <w:jc w:val="center"/>
              <w:rPr>
                <w:rFonts w:ascii="宋体" w:hAnsi="宋体" w:cs="宋体"/>
                <w:kern w:val="0"/>
                <w:sz w:val="24"/>
              </w:rPr>
            </w:pPr>
          </w:p>
        </w:tc>
        <w:tc>
          <w:tcPr>
            <w:tcW w:w="1680" w:type="dxa"/>
            <w:vMerge w:val="continue"/>
            <w:vAlign w:val="center"/>
          </w:tcPr>
          <w:p w14:paraId="630B57BE">
            <w:pPr>
              <w:spacing w:line="360" w:lineRule="auto"/>
              <w:jc w:val="center"/>
              <w:rPr>
                <w:rFonts w:ascii="宋体" w:hAnsi="宋体" w:cs="宋体"/>
                <w:kern w:val="0"/>
                <w:sz w:val="24"/>
              </w:rPr>
            </w:pPr>
          </w:p>
        </w:tc>
        <w:tc>
          <w:tcPr>
            <w:tcW w:w="2025" w:type="dxa"/>
            <w:vAlign w:val="center"/>
          </w:tcPr>
          <w:p w14:paraId="23EF2D2D">
            <w:pPr>
              <w:spacing w:line="360" w:lineRule="auto"/>
              <w:jc w:val="center"/>
              <w:rPr>
                <w:rFonts w:ascii="宋体" w:hAnsi="宋体" w:cs="宋体"/>
                <w:kern w:val="0"/>
                <w:sz w:val="24"/>
              </w:rPr>
            </w:pPr>
            <w:r>
              <w:rPr>
                <w:rFonts w:hint="eastAsia" w:ascii="宋体" w:hAnsi="宋体" w:cs="宋体"/>
                <w:sz w:val="24"/>
              </w:rPr>
              <w:t>派驻市工信、市场监管专业人员数量</w:t>
            </w:r>
          </w:p>
        </w:tc>
        <w:tc>
          <w:tcPr>
            <w:tcW w:w="1500" w:type="dxa"/>
            <w:vAlign w:val="center"/>
          </w:tcPr>
          <w:p w14:paraId="48BE62E1">
            <w:pPr>
              <w:spacing w:line="360" w:lineRule="auto"/>
              <w:jc w:val="center"/>
              <w:rPr>
                <w:rFonts w:ascii="宋体" w:hAnsi="宋体" w:cs="宋体"/>
                <w:kern w:val="0"/>
                <w:sz w:val="24"/>
              </w:rPr>
            </w:pPr>
            <w:r>
              <w:rPr>
                <w:rFonts w:hint="eastAsia" w:ascii="宋体" w:hAnsi="宋体" w:cs="宋体"/>
                <w:sz w:val="24"/>
              </w:rPr>
              <w:t>=15人</w:t>
            </w:r>
          </w:p>
        </w:tc>
        <w:tc>
          <w:tcPr>
            <w:tcW w:w="1470" w:type="dxa"/>
            <w:vAlign w:val="center"/>
          </w:tcPr>
          <w:p w14:paraId="1F3F7A2F">
            <w:pPr>
              <w:spacing w:line="360" w:lineRule="auto"/>
              <w:jc w:val="center"/>
              <w:rPr>
                <w:rFonts w:ascii="宋体" w:hAnsi="宋体" w:cs="宋体"/>
                <w:kern w:val="0"/>
                <w:sz w:val="24"/>
              </w:rPr>
            </w:pPr>
            <w:r>
              <w:rPr>
                <w:rFonts w:hint="eastAsia" w:ascii="宋体" w:hAnsi="宋体" w:cs="宋体"/>
                <w:sz w:val="24"/>
              </w:rPr>
              <w:t>15人</w:t>
            </w:r>
          </w:p>
        </w:tc>
        <w:tc>
          <w:tcPr>
            <w:tcW w:w="1815" w:type="dxa"/>
            <w:vAlign w:val="center"/>
          </w:tcPr>
          <w:p w14:paraId="2B6DE024">
            <w:pPr>
              <w:spacing w:line="360" w:lineRule="auto"/>
              <w:jc w:val="center"/>
              <w:rPr>
                <w:rFonts w:ascii="宋体" w:hAnsi="宋体" w:cs="宋体"/>
                <w:kern w:val="0"/>
                <w:sz w:val="24"/>
              </w:rPr>
            </w:pPr>
            <w:r>
              <w:rPr>
                <w:rFonts w:hint="eastAsia" w:ascii="宋体" w:hAnsi="宋体" w:cs="宋体"/>
                <w:sz w:val="24"/>
              </w:rPr>
              <w:t>盐政监管服务协议</w:t>
            </w:r>
          </w:p>
        </w:tc>
        <w:tc>
          <w:tcPr>
            <w:tcW w:w="1185" w:type="dxa"/>
            <w:vAlign w:val="center"/>
          </w:tcPr>
          <w:p w14:paraId="038FBE25">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0CBD121A">
            <w:pPr>
              <w:spacing w:line="360" w:lineRule="auto"/>
              <w:rPr>
                <w:rFonts w:ascii="宋体" w:hAnsi="宋体" w:cs="宋体"/>
                <w:kern w:val="0"/>
                <w:sz w:val="22"/>
              </w:rPr>
            </w:pPr>
          </w:p>
        </w:tc>
      </w:tr>
      <w:tr w14:paraId="4D40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68CFEF49">
            <w:pPr>
              <w:spacing w:line="360" w:lineRule="auto"/>
              <w:jc w:val="center"/>
              <w:rPr>
                <w:rFonts w:ascii="宋体" w:hAnsi="宋体" w:cs="宋体"/>
                <w:kern w:val="0"/>
                <w:sz w:val="24"/>
              </w:rPr>
            </w:pPr>
          </w:p>
        </w:tc>
        <w:tc>
          <w:tcPr>
            <w:tcW w:w="1680" w:type="dxa"/>
            <w:vMerge w:val="continue"/>
            <w:vAlign w:val="center"/>
          </w:tcPr>
          <w:p w14:paraId="43A40DA4">
            <w:pPr>
              <w:spacing w:line="360" w:lineRule="auto"/>
              <w:jc w:val="center"/>
              <w:rPr>
                <w:rFonts w:ascii="宋体" w:hAnsi="宋体" w:cs="宋体"/>
                <w:kern w:val="0"/>
                <w:sz w:val="24"/>
              </w:rPr>
            </w:pPr>
          </w:p>
        </w:tc>
        <w:tc>
          <w:tcPr>
            <w:tcW w:w="2025" w:type="dxa"/>
            <w:vAlign w:val="center"/>
          </w:tcPr>
          <w:p w14:paraId="34AEBAB5">
            <w:pPr>
              <w:spacing w:line="360" w:lineRule="auto"/>
              <w:jc w:val="center"/>
              <w:rPr>
                <w:rFonts w:ascii="宋体" w:hAnsi="宋体" w:cs="宋体"/>
                <w:kern w:val="0"/>
                <w:sz w:val="24"/>
              </w:rPr>
            </w:pPr>
            <w:r>
              <w:rPr>
                <w:rFonts w:hint="eastAsia" w:ascii="宋体" w:hAnsi="宋体" w:cs="宋体"/>
                <w:sz w:val="24"/>
              </w:rPr>
              <w:t>对企业安全检查家·次数</w:t>
            </w:r>
          </w:p>
        </w:tc>
        <w:tc>
          <w:tcPr>
            <w:tcW w:w="1500" w:type="dxa"/>
            <w:vAlign w:val="center"/>
          </w:tcPr>
          <w:p w14:paraId="0B44AAE0">
            <w:pPr>
              <w:spacing w:line="360" w:lineRule="auto"/>
              <w:jc w:val="center"/>
              <w:rPr>
                <w:rFonts w:hint="eastAsia" w:ascii="宋体" w:hAnsi="宋体" w:eastAsia="宋体" w:cs="宋体"/>
                <w:kern w:val="0"/>
                <w:sz w:val="24"/>
                <w:lang w:eastAsia="zh-CN"/>
              </w:rPr>
            </w:pPr>
            <w:r>
              <w:rPr>
                <w:rFonts w:hint="eastAsia" w:ascii="宋体" w:hAnsi="宋体" w:cs="宋体"/>
                <w:sz w:val="24"/>
              </w:rPr>
              <w:t>&gt;=30</w:t>
            </w:r>
            <w:r>
              <w:rPr>
                <w:rFonts w:hint="eastAsia" w:ascii="宋体" w:hAnsi="宋体" w:cs="宋体"/>
                <w:sz w:val="24"/>
                <w:lang w:eastAsia="zh-CN"/>
              </w:rPr>
              <w:t>家次</w:t>
            </w:r>
          </w:p>
        </w:tc>
        <w:tc>
          <w:tcPr>
            <w:tcW w:w="1470" w:type="dxa"/>
            <w:vAlign w:val="center"/>
          </w:tcPr>
          <w:p w14:paraId="797B96B8">
            <w:pPr>
              <w:spacing w:line="360" w:lineRule="auto"/>
              <w:jc w:val="center"/>
              <w:rPr>
                <w:rFonts w:hint="eastAsia" w:ascii="宋体" w:hAnsi="宋体" w:eastAsia="宋体" w:cs="宋体"/>
                <w:kern w:val="0"/>
                <w:sz w:val="24"/>
                <w:lang w:eastAsia="zh-CN"/>
              </w:rPr>
            </w:pPr>
            <w:r>
              <w:rPr>
                <w:rFonts w:hint="eastAsia" w:ascii="宋体" w:hAnsi="宋体" w:cs="宋体"/>
                <w:sz w:val="24"/>
              </w:rPr>
              <w:t>33</w:t>
            </w:r>
            <w:r>
              <w:rPr>
                <w:rFonts w:hint="eastAsia" w:ascii="宋体" w:hAnsi="宋体" w:cs="宋体"/>
                <w:sz w:val="24"/>
                <w:lang w:eastAsia="zh-CN"/>
              </w:rPr>
              <w:t>家次</w:t>
            </w:r>
          </w:p>
        </w:tc>
        <w:tc>
          <w:tcPr>
            <w:tcW w:w="1815" w:type="dxa"/>
            <w:vAlign w:val="center"/>
          </w:tcPr>
          <w:p w14:paraId="6075B8B4">
            <w:pPr>
              <w:spacing w:line="360" w:lineRule="auto"/>
              <w:jc w:val="center"/>
              <w:rPr>
                <w:rFonts w:ascii="宋体" w:hAnsi="宋体" w:cs="宋体"/>
                <w:kern w:val="0"/>
                <w:sz w:val="24"/>
              </w:rPr>
            </w:pPr>
            <w:r>
              <w:rPr>
                <w:rFonts w:hint="eastAsia" w:ascii="宋体" w:hAnsi="宋体" w:cs="宋体"/>
                <w:sz w:val="24"/>
              </w:rPr>
              <w:t>修造船企业安全检查报告</w:t>
            </w:r>
          </w:p>
        </w:tc>
        <w:tc>
          <w:tcPr>
            <w:tcW w:w="1185" w:type="dxa"/>
            <w:vAlign w:val="center"/>
          </w:tcPr>
          <w:p w14:paraId="3B4C34F9">
            <w:pPr>
              <w:spacing w:line="360" w:lineRule="auto"/>
              <w:jc w:val="center"/>
              <w:rPr>
                <w:rFonts w:ascii="宋体" w:hAnsi="宋体" w:cs="宋体"/>
                <w:kern w:val="0"/>
                <w:sz w:val="24"/>
              </w:rPr>
            </w:pPr>
            <w:r>
              <w:rPr>
                <w:rFonts w:hint="eastAsia" w:ascii="宋体" w:hAnsi="宋体" w:cs="宋体"/>
                <w:sz w:val="24"/>
              </w:rPr>
              <w:t>10.00%</w:t>
            </w:r>
          </w:p>
        </w:tc>
        <w:tc>
          <w:tcPr>
            <w:tcW w:w="3248" w:type="dxa"/>
          </w:tcPr>
          <w:p w14:paraId="672AB417">
            <w:pPr>
              <w:spacing w:line="360" w:lineRule="auto"/>
              <w:rPr>
                <w:rFonts w:ascii="宋体" w:hAnsi="宋体" w:cs="宋体"/>
                <w:kern w:val="0"/>
                <w:sz w:val="22"/>
              </w:rPr>
            </w:pPr>
          </w:p>
        </w:tc>
      </w:tr>
      <w:tr w14:paraId="2040D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2F4B31CA">
            <w:pPr>
              <w:spacing w:line="360" w:lineRule="auto"/>
              <w:jc w:val="center"/>
              <w:rPr>
                <w:rFonts w:ascii="宋体" w:hAnsi="宋体" w:cs="宋体"/>
                <w:kern w:val="0"/>
                <w:sz w:val="24"/>
              </w:rPr>
            </w:pPr>
          </w:p>
        </w:tc>
        <w:tc>
          <w:tcPr>
            <w:tcW w:w="1680" w:type="dxa"/>
            <w:vMerge w:val="continue"/>
            <w:vAlign w:val="center"/>
          </w:tcPr>
          <w:p w14:paraId="39E322E2">
            <w:pPr>
              <w:spacing w:line="360" w:lineRule="auto"/>
              <w:jc w:val="center"/>
              <w:rPr>
                <w:rFonts w:ascii="宋体" w:hAnsi="宋体" w:cs="宋体"/>
                <w:kern w:val="0"/>
                <w:sz w:val="24"/>
              </w:rPr>
            </w:pPr>
          </w:p>
        </w:tc>
        <w:tc>
          <w:tcPr>
            <w:tcW w:w="2025" w:type="dxa"/>
            <w:vAlign w:val="center"/>
          </w:tcPr>
          <w:p w14:paraId="7A99BCB7">
            <w:pPr>
              <w:spacing w:line="360" w:lineRule="auto"/>
              <w:jc w:val="center"/>
              <w:rPr>
                <w:rFonts w:ascii="宋体" w:hAnsi="宋体" w:cs="宋体"/>
                <w:kern w:val="0"/>
                <w:sz w:val="24"/>
              </w:rPr>
            </w:pPr>
            <w:r>
              <w:rPr>
                <w:rFonts w:hint="eastAsia" w:ascii="宋体" w:hAnsi="宋体" w:cs="宋体"/>
                <w:sz w:val="24"/>
              </w:rPr>
              <w:t>重大考试保障次数</w:t>
            </w:r>
          </w:p>
        </w:tc>
        <w:tc>
          <w:tcPr>
            <w:tcW w:w="1500" w:type="dxa"/>
            <w:vAlign w:val="center"/>
          </w:tcPr>
          <w:p w14:paraId="0AE6C42C">
            <w:pPr>
              <w:spacing w:line="360" w:lineRule="auto"/>
              <w:jc w:val="center"/>
              <w:rPr>
                <w:rFonts w:ascii="宋体" w:hAnsi="宋体" w:cs="宋体"/>
                <w:kern w:val="0"/>
                <w:sz w:val="24"/>
              </w:rPr>
            </w:pPr>
            <w:r>
              <w:rPr>
                <w:rFonts w:hint="eastAsia" w:ascii="宋体" w:hAnsi="宋体" w:cs="宋体"/>
                <w:sz w:val="24"/>
              </w:rPr>
              <w:t>&gt;=6次</w:t>
            </w:r>
          </w:p>
        </w:tc>
        <w:tc>
          <w:tcPr>
            <w:tcW w:w="1470" w:type="dxa"/>
            <w:vAlign w:val="center"/>
          </w:tcPr>
          <w:p w14:paraId="37CFF62F">
            <w:pPr>
              <w:spacing w:line="360" w:lineRule="auto"/>
              <w:jc w:val="center"/>
              <w:rPr>
                <w:rFonts w:ascii="宋体" w:hAnsi="宋体" w:cs="宋体"/>
                <w:kern w:val="0"/>
                <w:sz w:val="24"/>
              </w:rPr>
            </w:pPr>
            <w:r>
              <w:rPr>
                <w:rFonts w:hint="eastAsia" w:ascii="宋体" w:hAnsi="宋体" w:cs="宋体"/>
                <w:sz w:val="24"/>
              </w:rPr>
              <w:t>10次</w:t>
            </w:r>
          </w:p>
        </w:tc>
        <w:tc>
          <w:tcPr>
            <w:tcW w:w="1815" w:type="dxa"/>
            <w:vAlign w:val="center"/>
          </w:tcPr>
          <w:p w14:paraId="086F6E79">
            <w:pPr>
              <w:spacing w:line="360" w:lineRule="auto"/>
              <w:jc w:val="center"/>
              <w:rPr>
                <w:rFonts w:ascii="宋体" w:hAnsi="宋体" w:cs="宋体"/>
                <w:kern w:val="0"/>
                <w:sz w:val="24"/>
              </w:rPr>
            </w:pPr>
            <w:r>
              <w:rPr>
                <w:rFonts w:hint="eastAsia" w:ascii="宋体" w:hAnsi="宋体" w:cs="宋体"/>
                <w:sz w:val="24"/>
              </w:rPr>
              <w:t>工作台账、工作总结</w:t>
            </w:r>
          </w:p>
        </w:tc>
        <w:tc>
          <w:tcPr>
            <w:tcW w:w="1185" w:type="dxa"/>
            <w:vAlign w:val="center"/>
          </w:tcPr>
          <w:p w14:paraId="590299B3">
            <w:pPr>
              <w:spacing w:line="360" w:lineRule="auto"/>
              <w:jc w:val="center"/>
              <w:rPr>
                <w:rFonts w:ascii="宋体" w:hAnsi="宋体" w:cs="宋体"/>
                <w:kern w:val="0"/>
                <w:sz w:val="24"/>
              </w:rPr>
            </w:pPr>
            <w:r>
              <w:rPr>
                <w:rFonts w:hint="eastAsia" w:ascii="宋体" w:hAnsi="宋体" w:cs="宋体"/>
                <w:sz w:val="24"/>
              </w:rPr>
              <w:t>66.67%</w:t>
            </w:r>
          </w:p>
        </w:tc>
        <w:tc>
          <w:tcPr>
            <w:tcW w:w="3248" w:type="dxa"/>
          </w:tcPr>
          <w:p w14:paraId="6BEA93D4">
            <w:pPr>
              <w:spacing w:line="360" w:lineRule="auto"/>
              <w:rPr>
                <w:rFonts w:ascii="宋体" w:hAnsi="宋体" w:cs="宋体"/>
                <w:kern w:val="0"/>
                <w:sz w:val="22"/>
              </w:rPr>
            </w:pPr>
            <w:r>
              <w:rPr>
                <w:rFonts w:hint="eastAsia" w:ascii="宋体" w:hAnsi="宋体" w:cs="宋体"/>
                <w:sz w:val="24"/>
              </w:rPr>
              <w:t>工信部通知国家类考试保障由原6次增加至10次。</w:t>
            </w:r>
          </w:p>
        </w:tc>
      </w:tr>
      <w:tr w14:paraId="4245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579E0120">
            <w:pPr>
              <w:spacing w:line="360" w:lineRule="auto"/>
              <w:jc w:val="center"/>
              <w:rPr>
                <w:rFonts w:ascii="宋体" w:hAnsi="宋体" w:cs="宋体"/>
                <w:kern w:val="0"/>
                <w:sz w:val="24"/>
              </w:rPr>
            </w:pPr>
          </w:p>
        </w:tc>
        <w:tc>
          <w:tcPr>
            <w:tcW w:w="1680" w:type="dxa"/>
            <w:vMerge w:val="continue"/>
            <w:vAlign w:val="center"/>
          </w:tcPr>
          <w:p w14:paraId="774E6C9B">
            <w:pPr>
              <w:spacing w:line="360" w:lineRule="auto"/>
              <w:jc w:val="center"/>
              <w:rPr>
                <w:rFonts w:ascii="宋体" w:hAnsi="宋体" w:cs="宋体"/>
                <w:kern w:val="0"/>
                <w:sz w:val="24"/>
              </w:rPr>
            </w:pPr>
          </w:p>
        </w:tc>
        <w:tc>
          <w:tcPr>
            <w:tcW w:w="2025" w:type="dxa"/>
            <w:vAlign w:val="center"/>
          </w:tcPr>
          <w:p w14:paraId="5685ED3A">
            <w:pPr>
              <w:spacing w:line="360" w:lineRule="auto"/>
              <w:jc w:val="center"/>
              <w:rPr>
                <w:rFonts w:ascii="宋体" w:hAnsi="宋体" w:cs="宋体"/>
                <w:kern w:val="0"/>
                <w:sz w:val="24"/>
              </w:rPr>
            </w:pPr>
            <w:r>
              <w:rPr>
                <w:rFonts w:hint="eastAsia" w:ascii="宋体" w:hAnsi="宋体" w:cs="宋体"/>
                <w:sz w:val="24"/>
              </w:rPr>
              <w:t>分解下达各市、区2024年度能耗强度下降目标</w:t>
            </w:r>
          </w:p>
        </w:tc>
        <w:tc>
          <w:tcPr>
            <w:tcW w:w="1500" w:type="dxa"/>
            <w:vAlign w:val="center"/>
          </w:tcPr>
          <w:p w14:paraId="733C248B">
            <w:pPr>
              <w:spacing w:line="360" w:lineRule="auto"/>
              <w:jc w:val="center"/>
              <w:rPr>
                <w:rFonts w:ascii="宋体" w:hAnsi="宋体" w:cs="宋体"/>
                <w:kern w:val="0"/>
                <w:sz w:val="24"/>
              </w:rPr>
            </w:pPr>
            <w:r>
              <w:rPr>
                <w:rFonts w:hint="eastAsia" w:ascii="宋体" w:hAnsi="宋体" w:cs="宋体"/>
                <w:sz w:val="24"/>
              </w:rPr>
              <w:t>完成</w:t>
            </w:r>
          </w:p>
        </w:tc>
        <w:tc>
          <w:tcPr>
            <w:tcW w:w="1470" w:type="dxa"/>
            <w:vAlign w:val="center"/>
          </w:tcPr>
          <w:p w14:paraId="0D0AC987">
            <w:pPr>
              <w:spacing w:line="360" w:lineRule="auto"/>
              <w:jc w:val="center"/>
              <w:rPr>
                <w:rFonts w:ascii="宋体" w:hAnsi="宋体" w:cs="宋体"/>
                <w:kern w:val="0"/>
                <w:sz w:val="24"/>
              </w:rPr>
            </w:pPr>
            <w:r>
              <w:rPr>
                <w:rFonts w:hint="eastAsia" w:ascii="宋体" w:hAnsi="宋体" w:cs="宋体"/>
                <w:sz w:val="24"/>
              </w:rPr>
              <w:t>完成</w:t>
            </w:r>
          </w:p>
        </w:tc>
        <w:tc>
          <w:tcPr>
            <w:tcW w:w="1815" w:type="dxa"/>
            <w:vAlign w:val="center"/>
          </w:tcPr>
          <w:p w14:paraId="38088470">
            <w:pPr>
              <w:spacing w:line="360" w:lineRule="auto"/>
              <w:jc w:val="center"/>
              <w:rPr>
                <w:rFonts w:ascii="宋体" w:hAnsi="宋体" w:cs="宋体"/>
                <w:kern w:val="0"/>
                <w:sz w:val="24"/>
              </w:rPr>
            </w:pPr>
            <w:r>
              <w:rPr>
                <w:rFonts w:hint="eastAsia" w:ascii="宋体" w:hAnsi="宋体" w:cs="宋体"/>
                <w:sz w:val="24"/>
              </w:rPr>
              <w:t>分解下达目标的通知</w:t>
            </w:r>
          </w:p>
        </w:tc>
        <w:tc>
          <w:tcPr>
            <w:tcW w:w="1185" w:type="dxa"/>
            <w:vAlign w:val="center"/>
          </w:tcPr>
          <w:p w14:paraId="2E05D671">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432844A0">
            <w:pPr>
              <w:spacing w:line="360" w:lineRule="auto"/>
              <w:rPr>
                <w:rFonts w:ascii="宋体" w:hAnsi="宋体" w:cs="宋体"/>
                <w:kern w:val="0"/>
                <w:sz w:val="22"/>
              </w:rPr>
            </w:pPr>
          </w:p>
        </w:tc>
      </w:tr>
      <w:tr w14:paraId="3D4C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642F8496">
            <w:pPr>
              <w:spacing w:line="360" w:lineRule="auto"/>
              <w:jc w:val="center"/>
              <w:rPr>
                <w:rFonts w:ascii="宋体" w:hAnsi="宋体" w:cs="宋体"/>
                <w:kern w:val="0"/>
                <w:sz w:val="24"/>
              </w:rPr>
            </w:pPr>
          </w:p>
        </w:tc>
        <w:tc>
          <w:tcPr>
            <w:tcW w:w="1680" w:type="dxa"/>
            <w:vMerge w:val="continue"/>
            <w:vAlign w:val="center"/>
          </w:tcPr>
          <w:p w14:paraId="732AA83F">
            <w:pPr>
              <w:spacing w:line="360" w:lineRule="auto"/>
              <w:jc w:val="center"/>
              <w:rPr>
                <w:rFonts w:ascii="宋体" w:hAnsi="宋体" w:cs="宋体"/>
                <w:kern w:val="0"/>
                <w:sz w:val="24"/>
              </w:rPr>
            </w:pPr>
          </w:p>
        </w:tc>
        <w:tc>
          <w:tcPr>
            <w:tcW w:w="2025" w:type="dxa"/>
            <w:vAlign w:val="center"/>
          </w:tcPr>
          <w:p w14:paraId="792457E9">
            <w:pPr>
              <w:spacing w:line="360" w:lineRule="auto"/>
              <w:jc w:val="center"/>
              <w:rPr>
                <w:rFonts w:ascii="宋体" w:hAnsi="宋体" w:cs="宋体"/>
                <w:kern w:val="0"/>
                <w:sz w:val="24"/>
              </w:rPr>
            </w:pPr>
            <w:r>
              <w:rPr>
                <w:rFonts w:hint="eastAsia" w:ascii="宋体" w:hAnsi="宋体" w:cs="宋体"/>
                <w:sz w:val="24"/>
              </w:rPr>
              <w:t>举办丝绸苏州展会次数</w:t>
            </w:r>
          </w:p>
        </w:tc>
        <w:tc>
          <w:tcPr>
            <w:tcW w:w="1500" w:type="dxa"/>
            <w:vAlign w:val="center"/>
          </w:tcPr>
          <w:p w14:paraId="748B2921">
            <w:pPr>
              <w:spacing w:line="360" w:lineRule="auto"/>
              <w:jc w:val="center"/>
              <w:rPr>
                <w:rFonts w:ascii="宋体" w:hAnsi="宋体" w:cs="宋体"/>
                <w:kern w:val="0"/>
                <w:sz w:val="24"/>
              </w:rPr>
            </w:pPr>
            <w:r>
              <w:rPr>
                <w:rFonts w:hint="eastAsia" w:ascii="宋体" w:hAnsi="宋体" w:cs="宋体"/>
                <w:sz w:val="24"/>
              </w:rPr>
              <w:t>=1次</w:t>
            </w:r>
          </w:p>
        </w:tc>
        <w:tc>
          <w:tcPr>
            <w:tcW w:w="1470" w:type="dxa"/>
            <w:vAlign w:val="center"/>
          </w:tcPr>
          <w:p w14:paraId="0E3848E6">
            <w:pPr>
              <w:spacing w:line="360" w:lineRule="auto"/>
              <w:jc w:val="center"/>
              <w:rPr>
                <w:rFonts w:ascii="宋体" w:hAnsi="宋体" w:cs="宋体"/>
                <w:kern w:val="0"/>
                <w:sz w:val="24"/>
              </w:rPr>
            </w:pPr>
            <w:r>
              <w:rPr>
                <w:rFonts w:hint="eastAsia" w:ascii="宋体" w:hAnsi="宋体" w:cs="宋体"/>
                <w:sz w:val="24"/>
              </w:rPr>
              <w:t>1次</w:t>
            </w:r>
          </w:p>
        </w:tc>
        <w:tc>
          <w:tcPr>
            <w:tcW w:w="1815" w:type="dxa"/>
            <w:vAlign w:val="center"/>
          </w:tcPr>
          <w:p w14:paraId="326A1B12">
            <w:pPr>
              <w:spacing w:line="360" w:lineRule="auto"/>
              <w:jc w:val="center"/>
              <w:rPr>
                <w:rFonts w:ascii="宋体" w:hAnsi="宋体" w:cs="宋体"/>
                <w:kern w:val="0"/>
                <w:sz w:val="24"/>
              </w:rPr>
            </w:pPr>
            <w:r>
              <w:rPr>
                <w:rFonts w:hint="eastAsia" w:ascii="宋体" w:hAnsi="宋体" w:cs="宋体"/>
                <w:sz w:val="24"/>
              </w:rPr>
              <w:t>专项审计报告</w:t>
            </w:r>
          </w:p>
        </w:tc>
        <w:tc>
          <w:tcPr>
            <w:tcW w:w="1185" w:type="dxa"/>
            <w:vAlign w:val="center"/>
          </w:tcPr>
          <w:p w14:paraId="4630AC53">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3B136F70">
            <w:pPr>
              <w:spacing w:line="360" w:lineRule="auto"/>
              <w:rPr>
                <w:rFonts w:ascii="宋体" w:hAnsi="宋体" w:cs="宋体"/>
                <w:kern w:val="0"/>
                <w:sz w:val="22"/>
              </w:rPr>
            </w:pPr>
          </w:p>
        </w:tc>
      </w:tr>
      <w:tr w14:paraId="67342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4FB4FEF2">
            <w:pPr>
              <w:spacing w:line="360" w:lineRule="auto"/>
              <w:jc w:val="center"/>
              <w:rPr>
                <w:rFonts w:ascii="宋体" w:hAnsi="宋体" w:cs="宋体"/>
                <w:kern w:val="0"/>
                <w:sz w:val="24"/>
              </w:rPr>
            </w:pPr>
          </w:p>
        </w:tc>
        <w:tc>
          <w:tcPr>
            <w:tcW w:w="1680" w:type="dxa"/>
            <w:vMerge w:val="continue"/>
            <w:vAlign w:val="center"/>
          </w:tcPr>
          <w:p w14:paraId="3AE07B76">
            <w:pPr>
              <w:spacing w:line="360" w:lineRule="auto"/>
              <w:jc w:val="center"/>
              <w:rPr>
                <w:rFonts w:ascii="宋体" w:hAnsi="宋体" w:cs="宋体"/>
                <w:kern w:val="0"/>
                <w:sz w:val="24"/>
              </w:rPr>
            </w:pPr>
          </w:p>
        </w:tc>
        <w:tc>
          <w:tcPr>
            <w:tcW w:w="2025" w:type="dxa"/>
            <w:vAlign w:val="center"/>
          </w:tcPr>
          <w:p w14:paraId="28E8C31E">
            <w:pPr>
              <w:spacing w:line="360" w:lineRule="auto"/>
              <w:jc w:val="center"/>
              <w:rPr>
                <w:rFonts w:ascii="宋体" w:hAnsi="宋体" w:cs="宋体"/>
                <w:kern w:val="0"/>
                <w:sz w:val="24"/>
              </w:rPr>
            </w:pPr>
            <w:r>
              <w:rPr>
                <w:rFonts w:hint="eastAsia" w:ascii="宋体" w:hAnsi="宋体" w:cs="宋体"/>
                <w:sz w:val="24"/>
              </w:rPr>
              <w:t>组织企业申报“工业上楼”优秀项目和老旧工业区连片改造提升项目</w:t>
            </w:r>
          </w:p>
        </w:tc>
        <w:tc>
          <w:tcPr>
            <w:tcW w:w="1500" w:type="dxa"/>
            <w:vAlign w:val="center"/>
          </w:tcPr>
          <w:p w14:paraId="698D9A76">
            <w:pPr>
              <w:spacing w:line="360" w:lineRule="auto"/>
              <w:jc w:val="center"/>
              <w:rPr>
                <w:rFonts w:ascii="宋体" w:hAnsi="宋体" w:cs="宋体"/>
                <w:kern w:val="0"/>
                <w:sz w:val="24"/>
              </w:rPr>
            </w:pPr>
            <w:r>
              <w:rPr>
                <w:rFonts w:hint="eastAsia" w:ascii="宋体" w:hAnsi="宋体" w:cs="宋体"/>
                <w:sz w:val="24"/>
              </w:rPr>
              <w:t>=1次</w:t>
            </w:r>
          </w:p>
        </w:tc>
        <w:tc>
          <w:tcPr>
            <w:tcW w:w="1470" w:type="dxa"/>
            <w:vAlign w:val="center"/>
          </w:tcPr>
          <w:p w14:paraId="25B00B8C">
            <w:pPr>
              <w:spacing w:line="360" w:lineRule="auto"/>
              <w:jc w:val="center"/>
              <w:rPr>
                <w:rFonts w:ascii="宋体" w:hAnsi="宋体" w:cs="宋体"/>
                <w:kern w:val="0"/>
                <w:sz w:val="24"/>
              </w:rPr>
            </w:pPr>
            <w:r>
              <w:rPr>
                <w:rFonts w:hint="eastAsia" w:ascii="宋体" w:hAnsi="宋体" w:cs="宋体"/>
                <w:sz w:val="24"/>
              </w:rPr>
              <w:t>1次</w:t>
            </w:r>
          </w:p>
        </w:tc>
        <w:tc>
          <w:tcPr>
            <w:tcW w:w="1815" w:type="dxa"/>
            <w:vAlign w:val="center"/>
          </w:tcPr>
          <w:p w14:paraId="4277E1DA">
            <w:pPr>
              <w:spacing w:line="360" w:lineRule="auto"/>
              <w:jc w:val="center"/>
              <w:rPr>
                <w:rFonts w:ascii="宋体" w:hAnsi="宋体" w:cs="宋体"/>
                <w:kern w:val="0"/>
                <w:sz w:val="24"/>
              </w:rPr>
            </w:pPr>
            <w:r>
              <w:rPr>
                <w:rFonts w:hint="eastAsia" w:ascii="宋体" w:hAnsi="宋体" w:cs="宋体"/>
                <w:sz w:val="24"/>
              </w:rPr>
              <w:t>专项资金下达文件</w:t>
            </w:r>
          </w:p>
        </w:tc>
        <w:tc>
          <w:tcPr>
            <w:tcW w:w="1185" w:type="dxa"/>
            <w:vAlign w:val="center"/>
          </w:tcPr>
          <w:p w14:paraId="1400B93F">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693E9DD6">
            <w:pPr>
              <w:spacing w:line="360" w:lineRule="auto"/>
              <w:rPr>
                <w:rFonts w:ascii="宋体" w:hAnsi="宋体" w:cs="宋体"/>
                <w:kern w:val="0"/>
                <w:sz w:val="22"/>
              </w:rPr>
            </w:pPr>
          </w:p>
        </w:tc>
      </w:tr>
      <w:tr w14:paraId="7F7C2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51C5730A">
            <w:pPr>
              <w:spacing w:line="360" w:lineRule="auto"/>
              <w:jc w:val="center"/>
              <w:rPr>
                <w:rFonts w:ascii="宋体" w:hAnsi="宋体" w:cs="宋体"/>
                <w:kern w:val="0"/>
                <w:sz w:val="24"/>
              </w:rPr>
            </w:pPr>
          </w:p>
        </w:tc>
        <w:tc>
          <w:tcPr>
            <w:tcW w:w="1680" w:type="dxa"/>
            <w:vMerge w:val="continue"/>
            <w:vAlign w:val="center"/>
          </w:tcPr>
          <w:p w14:paraId="0D6ECB19">
            <w:pPr>
              <w:spacing w:line="360" w:lineRule="auto"/>
              <w:jc w:val="center"/>
              <w:rPr>
                <w:rFonts w:ascii="宋体" w:hAnsi="宋体" w:cs="宋体"/>
                <w:kern w:val="0"/>
                <w:sz w:val="24"/>
              </w:rPr>
            </w:pPr>
          </w:p>
        </w:tc>
        <w:tc>
          <w:tcPr>
            <w:tcW w:w="2025" w:type="dxa"/>
            <w:vAlign w:val="center"/>
          </w:tcPr>
          <w:p w14:paraId="427897D4">
            <w:pPr>
              <w:spacing w:line="360" w:lineRule="auto"/>
              <w:jc w:val="center"/>
              <w:rPr>
                <w:rFonts w:ascii="宋体" w:hAnsi="宋体" w:cs="宋体"/>
                <w:kern w:val="0"/>
                <w:sz w:val="24"/>
              </w:rPr>
            </w:pPr>
            <w:r>
              <w:rPr>
                <w:rFonts w:hint="eastAsia" w:ascii="宋体" w:hAnsi="宋体" w:cs="宋体"/>
                <w:sz w:val="24"/>
              </w:rPr>
              <w:t>实施智能制造诊断项目数量</w:t>
            </w:r>
          </w:p>
        </w:tc>
        <w:tc>
          <w:tcPr>
            <w:tcW w:w="1500" w:type="dxa"/>
            <w:vAlign w:val="center"/>
          </w:tcPr>
          <w:p w14:paraId="28A1DE8F">
            <w:pPr>
              <w:spacing w:line="360" w:lineRule="auto"/>
              <w:jc w:val="center"/>
              <w:rPr>
                <w:rFonts w:ascii="宋体" w:hAnsi="宋体" w:cs="宋体"/>
                <w:kern w:val="0"/>
                <w:sz w:val="24"/>
              </w:rPr>
            </w:pPr>
            <w:r>
              <w:rPr>
                <w:rFonts w:hint="eastAsia" w:ascii="宋体" w:hAnsi="宋体" w:cs="宋体"/>
                <w:sz w:val="24"/>
              </w:rPr>
              <w:t>=370个</w:t>
            </w:r>
          </w:p>
        </w:tc>
        <w:tc>
          <w:tcPr>
            <w:tcW w:w="1470" w:type="dxa"/>
            <w:vAlign w:val="center"/>
          </w:tcPr>
          <w:p w14:paraId="07A34D02">
            <w:pPr>
              <w:spacing w:line="360" w:lineRule="auto"/>
              <w:jc w:val="center"/>
              <w:rPr>
                <w:rFonts w:ascii="宋体" w:hAnsi="宋体" w:cs="宋体"/>
                <w:kern w:val="0"/>
                <w:sz w:val="24"/>
              </w:rPr>
            </w:pPr>
            <w:r>
              <w:rPr>
                <w:rFonts w:hint="eastAsia" w:ascii="宋体" w:hAnsi="宋体" w:cs="宋体"/>
                <w:sz w:val="24"/>
              </w:rPr>
              <w:t>379个</w:t>
            </w:r>
          </w:p>
        </w:tc>
        <w:tc>
          <w:tcPr>
            <w:tcW w:w="1815" w:type="dxa"/>
            <w:vAlign w:val="center"/>
          </w:tcPr>
          <w:p w14:paraId="027B880C">
            <w:pPr>
              <w:spacing w:line="360" w:lineRule="auto"/>
              <w:jc w:val="center"/>
              <w:rPr>
                <w:rFonts w:ascii="宋体" w:hAnsi="宋体" w:cs="宋体"/>
                <w:kern w:val="0"/>
                <w:sz w:val="24"/>
              </w:rPr>
            </w:pPr>
            <w:r>
              <w:rPr>
                <w:rFonts w:hint="eastAsia" w:ascii="宋体" w:hAnsi="宋体" w:cs="宋体"/>
                <w:sz w:val="24"/>
              </w:rPr>
              <w:t>诊断服务项目监理报告</w:t>
            </w:r>
          </w:p>
        </w:tc>
        <w:tc>
          <w:tcPr>
            <w:tcW w:w="1185" w:type="dxa"/>
            <w:vAlign w:val="center"/>
          </w:tcPr>
          <w:p w14:paraId="2813DF7D">
            <w:pPr>
              <w:spacing w:line="360" w:lineRule="auto"/>
              <w:jc w:val="center"/>
              <w:rPr>
                <w:rFonts w:ascii="宋体" w:hAnsi="宋体" w:cs="宋体"/>
                <w:kern w:val="0"/>
                <w:sz w:val="24"/>
              </w:rPr>
            </w:pPr>
            <w:r>
              <w:rPr>
                <w:rFonts w:hint="eastAsia" w:ascii="宋体" w:hAnsi="宋体" w:cs="宋体"/>
                <w:sz w:val="24"/>
              </w:rPr>
              <w:t>2.43%</w:t>
            </w:r>
          </w:p>
        </w:tc>
        <w:tc>
          <w:tcPr>
            <w:tcW w:w="3248" w:type="dxa"/>
          </w:tcPr>
          <w:p w14:paraId="38901EB5">
            <w:pPr>
              <w:spacing w:line="360" w:lineRule="auto"/>
              <w:rPr>
                <w:rFonts w:ascii="宋体" w:hAnsi="宋体" w:cs="宋体"/>
                <w:kern w:val="0"/>
                <w:sz w:val="22"/>
              </w:rPr>
            </w:pPr>
          </w:p>
        </w:tc>
      </w:tr>
      <w:tr w14:paraId="71501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3191FE28">
            <w:pPr>
              <w:spacing w:line="360" w:lineRule="auto"/>
              <w:jc w:val="center"/>
              <w:rPr>
                <w:rFonts w:ascii="宋体" w:hAnsi="宋体" w:cs="宋体"/>
                <w:kern w:val="0"/>
                <w:sz w:val="24"/>
              </w:rPr>
            </w:pPr>
          </w:p>
        </w:tc>
        <w:tc>
          <w:tcPr>
            <w:tcW w:w="1680" w:type="dxa"/>
            <w:vMerge w:val="continue"/>
            <w:vAlign w:val="center"/>
          </w:tcPr>
          <w:p w14:paraId="783CD0C4">
            <w:pPr>
              <w:spacing w:line="360" w:lineRule="auto"/>
              <w:jc w:val="center"/>
              <w:rPr>
                <w:rFonts w:ascii="宋体" w:hAnsi="宋体" w:cs="宋体"/>
                <w:kern w:val="0"/>
                <w:sz w:val="24"/>
              </w:rPr>
            </w:pPr>
          </w:p>
        </w:tc>
        <w:tc>
          <w:tcPr>
            <w:tcW w:w="2025" w:type="dxa"/>
            <w:vAlign w:val="center"/>
          </w:tcPr>
          <w:p w14:paraId="43BEBF7F">
            <w:pPr>
              <w:spacing w:line="360" w:lineRule="auto"/>
              <w:jc w:val="center"/>
              <w:rPr>
                <w:rFonts w:ascii="宋体" w:hAnsi="宋体" w:cs="宋体"/>
                <w:kern w:val="0"/>
                <w:sz w:val="24"/>
              </w:rPr>
            </w:pPr>
            <w:r>
              <w:rPr>
                <w:rFonts w:hint="eastAsia" w:ascii="宋体" w:hAnsi="宋体" w:cs="宋体"/>
                <w:sz w:val="24"/>
              </w:rPr>
              <w:t>组织申报国家专精特新“小巨人”企业批次</w:t>
            </w:r>
          </w:p>
        </w:tc>
        <w:tc>
          <w:tcPr>
            <w:tcW w:w="1500" w:type="dxa"/>
            <w:vAlign w:val="center"/>
          </w:tcPr>
          <w:p w14:paraId="696A5C2D">
            <w:pPr>
              <w:spacing w:line="360" w:lineRule="auto"/>
              <w:jc w:val="center"/>
              <w:rPr>
                <w:rFonts w:ascii="宋体" w:hAnsi="宋体" w:cs="宋体"/>
                <w:kern w:val="0"/>
                <w:sz w:val="24"/>
              </w:rPr>
            </w:pPr>
            <w:r>
              <w:rPr>
                <w:rFonts w:hint="eastAsia" w:ascii="宋体" w:hAnsi="宋体" w:cs="宋体"/>
                <w:sz w:val="24"/>
              </w:rPr>
              <w:t>=1批次</w:t>
            </w:r>
          </w:p>
        </w:tc>
        <w:tc>
          <w:tcPr>
            <w:tcW w:w="1470" w:type="dxa"/>
            <w:vAlign w:val="center"/>
          </w:tcPr>
          <w:p w14:paraId="5116EECA">
            <w:pPr>
              <w:spacing w:line="360" w:lineRule="auto"/>
              <w:jc w:val="center"/>
              <w:rPr>
                <w:rFonts w:ascii="宋体" w:hAnsi="宋体" w:cs="宋体"/>
                <w:kern w:val="0"/>
                <w:sz w:val="24"/>
              </w:rPr>
            </w:pPr>
            <w:r>
              <w:rPr>
                <w:rFonts w:hint="eastAsia" w:ascii="宋体" w:hAnsi="宋体" w:cs="宋体"/>
                <w:sz w:val="24"/>
              </w:rPr>
              <w:t>1批次</w:t>
            </w:r>
          </w:p>
        </w:tc>
        <w:tc>
          <w:tcPr>
            <w:tcW w:w="1815" w:type="dxa"/>
            <w:vAlign w:val="center"/>
          </w:tcPr>
          <w:p w14:paraId="75250FC2">
            <w:pPr>
              <w:spacing w:line="360" w:lineRule="auto"/>
              <w:jc w:val="center"/>
              <w:rPr>
                <w:rFonts w:ascii="宋体" w:hAnsi="宋体" w:cs="宋体"/>
                <w:kern w:val="0"/>
                <w:sz w:val="24"/>
              </w:rPr>
            </w:pPr>
            <w:r>
              <w:rPr>
                <w:rFonts w:hint="eastAsia" w:ascii="宋体" w:hAnsi="宋体" w:cs="宋体"/>
                <w:sz w:val="24"/>
              </w:rPr>
              <w:t>组织推荐企业和复核的通知</w:t>
            </w:r>
          </w:p>
        </w:tc>
        <w:tc>
          <w:tcPr>
            <w:tcW w:w="1185" w:type="dxa"/>
            <w:vAlign w:val="center"/>
          </w:tcPr>
          <w:p w14:paraId="42DF3780">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5E48EED2">
            <w:pPr>
              <w:spacing w:line="360" w:lineRule="auto"/>
              <w:rPr>
                <w:rFonts w:ascii="宋体" w:hAnsi="宋体" w:cs="宋体"/>
                <w:kern w:val="0"/>
                <w:sz w:val="22"/>
              </w:rPr>
            </w:pPr>
          </w:p>
        </w:tc>
      </w:tr>
      <w:tr w14:paraId="3EC1E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093BF481">
            <w:pPr>
              <w:spacing w:line="360" w:lineRule="auto"/>
              <w:jc w:val="center"/>
              <w:rPr>
                <w:rFonts w:ascii="宋体" w:hAnsi="宋体" w:cs="宋体"/>
                <w:kern w:val="0"/>
                <w:sz w:val="24"/>
              </w:rPr>
            </w:pPr>
          </w:p>
        </w:tc>
        <w:tc>
          <w:tcPr>
            <w:tcW w:w="1680" w:type="dxa"/>
            <w:vMerge w:val="continue"/>
            <w:vAlign w:val="center"/>
          </w:tcPr>
          <w:p w14:paraId="45BD60AD">
            <w:pPr>
              <w:spacing w:line="360" w:lineRule="auto"/>
              <w:jc w:val="center"/>
              <w:rPr>
                <w:rFonts w:ascii="宋体" w:hAnsi="宋体" w:cs="宋体"/>
                <w:kern w:val="0"/>
                <w:sz w:val="24"/>
              </w:rPr>
            </w:pPr>
          </w:p>
        </w:tc>
        <w:tc>
          <w:tcPr>
            <w:tcW w:w="2025" w:type="dxa"/>
            <w:vAlign w:val="center"/>
          </w:tcPr>
          <w:p w14:paraId="72C387DD">
            <w:pPr>
              <w:spacing w:line="360" w:lineRule="auto"/>
              <w:jc w:val="center"/>
              <w:rPr>
                <w:rFonts w:ascii="宋体" w:hAnsi="宋体" w:cs="宋体"/>
                <w:kern w:val="0"/>
                <w:sz w:val="24"/>
              </w:rPr>
            </w:pPr>
            <w:r>
              <w:rPr>
                <w:rFonts w:hint="eastAsia" w:ascii="宋体" w:hAnsi="宋体" w:cs="宋体"/>
                <w:sz w:val="24"/>
              </w:rPr>
              <w:t>储备小包装食盐数量</w:t>
            </w:r>
          </w:p>
        </w:tc>
        <w:tc>
          <w:tcPr>
            <w:tcW w:w="1500" w:type="dxa"/>
            <w:vAlign w:val="center"/>
          </w:tcPr>
          <w:p w14:paraId="5A9AC060">
            <w:pPr>
              <w:spacing w:line="360" w:lineRule="auto"/>
              <w:jc w:val="center"/>
              <w:rPr>
                <w:rFonts w:ascii="宋体" w:hAnsi="宋体" w:cs="宋体"/>
                <w:kern w:val="0"/>
                <w:sz w:val="24"/>
              </w:rPr>
            </w:pPr>
            <w:r>
              <w:rPr>
                <w:rFonts w:hint="eastAsia" w:ascii="宋体" w:hAnsi="宋体" w:cs="宋体"/>
                <w:sz w:val="24"/>
              </w:rPr>
              <w:t>=3550吨</w:t>
            </w:r>
          </w:p>
        </w:tc>
        <w:tc>
          <w:tcPr>
            <w:tcW w:w="1470" w:type="dxa"/>
            <w:vAlign w:val="center"/>
          </w:tcPr>
          <w:p w14:paraId="462BAD7F">
            <w:pPr>
              <w:spacing w:line="360" w:lineRule="auto"/>
              <w:jc w:val="center"/>
              <w:rPr>
                <w:rFonts w:ascii="宋体" w:hAnsi="宋体" w:cs="宋体"/>
                <w:kern w:val="0"/>
                <w:sz w:val="24"/>
              </w:rPr>
            </w:pPr>
            <w:r>
              <w:rPr>
                <w:rFonts w:hint="eastAsia" w:ascii="宋体" w:hAnsi="宋体" w:cs="宋体"/>
                <w:sz w:val="24"/>
              </w:rPr>
              <w:t>3550吨</w:t>
            </w:r>
          </w:p>
        </w:tc>
        <w:tc>
          <w:tcPr>
            <w:tcW w:w="1815" w:type="dxa"/>
            <w:vAlign w:val="center"/>
          </w:tcPr>
          <w:p w14:paraId="7CDA1ABF">
            <w:pPr>
              <w:spacing w:line="360" w:lineRule="auto"/>
              <w:jc w:val="center"/>
              <w:rPr>
                <w:rFonts w:ascii="宋体" w:hAnsi="宋体" w:cs="宋体"/>
                <w:kern w:val="0"/>
                <w:sz w:val="24"/>
              </w:rPr>
            </w:pPr>
            <w:r>
              <w:rPr>
                <w:rFonts w:hint="eastAsia" w:ascii="宋体" w:hAnsi="宋体" w:cs="宋体"/>
                <w:sz w:val="24"/>
              </w:rPr>
              <w:t>食盐储备服务合同书</w:t>
            </w:r>
          </w:p>
        </w:tc>
        <w:tc>
          <w:tcPr>
            <w:tcW w:w="1185" w:type="dxa"/>
            <w:vAlign w:val="center"/>
          </w:tcPr>
          <w:p w14:paraId="09390BE6">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26006E03">
            <w:pPr>
              <w:spacing w:line="360" w:lineRule="auto"/>
              <w:rPr>
                <w:rFonts w:ascii="宋体" w:hAnsi="宋体" w:cs="宋体"/>
                <w:kern w:val="0"/>
                <w:sz w:val="22"/>
              </w:rPr>
            </w:pPr>
          </w:p>
        </w:tc>
      </w:tr>
      <w:tr w14:paraId="1ADF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5918F7C7">
            <w:pPr>
              <w:spacing w:line="360" w:lineRule="auto"/>
              <w:jc w:val="center"/>
              <w:rPr>
                <w:rFonts w:ascii="宋体" w:hAnsi="宋体" w:cs="宋体"/>
                <w:kern w:val="0"/>
                <w:sz w:val="24"/>
              </w:rPr>
            </w:pPr>
          </w:p>
        </w:tc>
        <w:tc>
          <w:tcPr>
            <w:tcW w:w="1680" w:type="dxa"/>
            <w:vMerge w:val="continue"/>
            <w:vAlign w:val="center"/>
          </w:tcPr>
          <w:p w14:paraId="0DE2E63F">
            <w:pPr>
              <w:spacing w:line="360" w:lineRule="auto"/>
              <w:jc w:val="center"/>
              <w:rPr>
                <w:rFonts w:ascii="宋体" w:hAnsi="宋体" w:cs="宋体"/>
                <w:kern w:val="0"/>
                <w:sz w:val="24"/>
              </w:rPr>
            </w:pPr>
          </w:p>
        </w:tc>
        <w:tc>
          <w:tcPr>
            <w:tcW w:w="2025" w:type="dxa"/>
            <w:vAlign w:val="center"/>
          </w:tcPr>
          <w:p w14:paraId="7BD14FDF">
            <w:pPr>
              <w:spacing w:line="360" w:lineRule="auto"/>
              <w:jc w:val="center"/>
              <w:rPr>
                <w:rFonts w:ascii="宋体" w:hAnsi="宋体" w:cs="宋体"/>
                <w:kern w:val="0"/>
                <w:sz w:val="24"/>
              </w:rPr>
            </w:pPr>
            <w:r>
              <w:rPr>
                <w:rFonts w:hint="eastAsia" w:ascii="宋体" w:hAnsi="宋体" w:cs="宋体"/>
                <w:sz w:val="24"/>
              </w:rPr>
              <w:t>开展全市集成电路产业年报统计工作次数</w:t>
            </w:r>
          </w:p>
        </w:tc>
        <w:tc>
          <w:tcPr>
            <w:tcW w:w="1500" w:type="dxa"/>
            <w:vAlign w:val="center"/>
          </w:tcPr>
          <w:p w14:paraId="387EFCEC">
            <w:pPr>
              <w:spacing w:line="360" w:lineRule="auto"/>
              <w:jc w:val="center"/>
              <w:rPr>
                <w:rFonts w:ascii="宋体" w:hAnsi="宋体" w:cs="宋体"/>
                <w:kern w:val="0"/>
                <w:sz w:val="24"/>
              </w:rPr>
            </w:pPr>
            <w:r>
              <w:rPr>
                <w:rFonts w:hint="eastAsia" w:ascii="宋体" w:hAnsi="宋体" w:cs="宋体"/>
                <w:sz w:val="24"/>
              </w:rPr>
              <w:t>=1次</w:t>
            </w:r>
          </w:p>
        </w:tc>
        <w:tc>
          <w:tcPr>
            <w:tcW w:w="1470" w:type="dxa"/>
            <w:vAlign w:val="center"/>
          </w:tcPr>
          <w:p w14:paraId="12764957">
            <w:pPr>
              <w:spacing w:line="360" w:lineRule="auto"/>
              <w:jc w:val="center"/>
              <w:rPr>
                <w:rFonts w:ascii="宋体" w:hAnsi="宋体" w:cs="宋体"/>
                <w:kern w:val="0"/>
                <w:sz w:val="24"/>
              </w:rPr>
            </w:pPr>
            <w:r>
              <w:rPr>
                <w:rFonts w:hint="eastAsia" w:ascii="宋体" w:hAnsi="宋体" w:cs="宋体"/>
                <w:sz w:val="24"/>
              </w:rPr>
              <w:t>1次</w:t>
            </w:r>
          </w:p>
        </w:tc>
        <w:tc>
          <w:tcPr>
            <w:tcW w:w="1815" w:type="dxa"/>
            <w:vAlign w:val="center"/>
          </w:tcPr>
          <w:p w14:paraId="70D39C91">
            <w:pPr>
              <w:spacing w:line="360" w:lineRule="auto"/>
              <w:jc w:val="center"/>
              <w:rPr>
                <w:rFonts w:ascii="宋体" w:hAnsi="宋体" w:cs="宋体"/>
                <w:kern w:val="0"/>
                <w:sz w:val="24"/>
              </w:rPr>
            </w:pPr>
            <w:r>
              <w:rPr>
                <w:rFonts w:hint="eastAsia" w:ascii="宋体" w:hAnsi="宋体" w:cs="宋体"/>
                <w:sz w:val="24"/>
              </w:rPr>
              <w:t>开展集成电路产业统计年报有关工作的通知</w:t>
            </w:r>
          </w:p>
        </w:tc>
        <w:tc>
          <w:tcPr>
            <w:tcW w:w="1185" w:type="dxa"/>
            <w:vAlign w:val="center"/>
          </w:tcPr>
          <w:p w14:paraId="264951AE">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4B63FAFC">
            <w:pPr>
              <w:spacing w:line="360" w:lineRule="auto"/>
              <w:rPr>
                <w:rFonts w:ascii="宋体" w:hAnsi="宋体" w:cs="宋体"/>
                <w:kern w:val="0"/>
                <w:sz w:val="22"/>
              </w:rPr>
            </w:pPr>
          </w:p>
        </w:tc>
      </w:tr>
      <w:tr w14:paraId="4D43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0841BF81">
            <w:pPr>
              <w:spacing w:line="360" w:lineRule="auto"/>
              <w:jc w:val="center"/>
              <w:rPr>
                <w:rFonts w:ascii="宋体" w:hAnsi="宋体" w:cs="宋体"/>
                <w:kern w:val="0"/>
                <w:sz w:val="24"/>
              </w:rPr>
            </w:pPr>
          </w:p>
        </w:tc>
        <w:tc>
          <w:tcPr>
            <w:tcW w:w="1680" w:type="dxa"/>
            <w:vMerge w:val="continue"/>
            <w:vAlign w:val="center"/>
          </w:tcPr>
          <w:p w14:paraId="028C9997">
            <w:pPr>
              <w:spacing w:line="360" w:lineRule="auto"/>
              <w:jc w:val="center"/>
              <w:rPr>
                <w:rFonts w:ascii="宋体" w:hAnsi="宋体" w:cs="宋体"/>
                <w:kern w:val="0"/>
                <w:sz w:val="24"/>
              </w:rPr>
            </w:pPr>
          </w:p>
        </w:tc>
        <w:tc>
          <w:tcPr>
            <w:tcW w:w="2025" w:type="dxa"/>
            <w:vAlign w:val="center"/>
          </w:tcPr>
          <w:p w14:paraId="12CB964C">
            <w:pPr>
              <w:spacing w:line="360" w:lineRule="auto"/>
              <w:jc w:val="center"/>
              <w:rPr>
                <w:rFonts w:ascii="宋体" w:hAnsi="宋体" w:cs="宋体"/>
                <w:kern w:val="0"/>
                <w:sz w:val="24"/>
              </w:rPr>
            </w:pPr>
            <w:r>
              <w:rPr>
                <w:rFonts w:hint="eastAsia" w:ascii="宋体" w:hAnsi="宋体" w:cs="宋体"/>
                <w:sz w:val="24"/>
              </w:rPr>
              <w:t>组织申报国家级绿色制造体系建设次数</w:t>
            </w:r>
          </w:p>
        </w:tc>
        <w:tc>
          <w:tcPr>
            <w:tcW w:w="1500" w:type="dxa"/>
            <w:vAlign w:val="center"/>
          </w:tcPr>
          <w:p w14:paraId="17815AD8">
            <w:pPr>
              <w:spacing w:line="360" w:lineRule="auto"/>
              <w:jc w:val="center"/>
              <w:rPr>
                <w:rFonts w:ascii="宋体" w:hAnsi="宋体" w:cs="宋体"/>
                <w:kern w:val="0"/>
                <w:sz w:val="24"/>
              </w:rPr>
            </w:pPr>
            <w:r>
              <w:rPr>
                <w:rFonts w:hint="eastAsia" w:ascii="宋体" w:hAnsi="宋体" w:cs="宋体"/>
                <w:sz w:val="24"/>
              </w:rPr>
              <w:t>=1次</w:t>
            </w:r>
          </w:p>
        </w:tc>
        <w:tc>
          <w:tcPr>
            <w:tcW w:w="1470" w:type="dxa"/>
            <w:vAlign w:val="center"/>
          </w:tcPr>
          <w:p w14:paraId="52C04DC7">
            <w:pPr>
              <w:spacing w:line="360" w:lineRule="auto"/>
              <w:jc w:val="center"/>
              <w:rPr>
                <w:rFonts w:ascii="宋体" w:hAnsi="宋体" w:cs="宋体"/>
                <w:kern w:val="0"/>
                <w:sz w:val="24"/>
              </w:rPr>
            </w:pPr>
            <w:r>
              <w:rPr>
                <w:rFonts w:hint="eastAsia" w:ascii="宋体" w:hAnsi="宋体" w:cs="宋体"/>
                <w:sz w:val="24"/>
              </w:rPr>
              <w:t>1次</w:t>
            </w:r>
          </w:p>
        </w:tc>
        <w:tc>
          <w:tcPr>
            <w:tcW w:w="1815" w:type="dxa"/>
            <w:vAlign w:val="center"/>
          </w:tcPr>
          <w:p w14:paraId="29EF9E21">
            <w:pPr>
              <w:spacing w:line="360" w:lineRule="auto"/>
              <w:jc w:val="center"/>
              <w:rPr>
                <w:rFonts w:ascii="宋体" w:hAnsi="宋体" w:cs="宋体"/>
                <w:kern w:val="0"/>
                <w:sz w:val="24"/>
              </w:rPr>
            </w:pPr>
            <w:r>
              <w:rPr>
                <w:rFonts w:hint="eastAsia" w:ascii="宋体" w:hAnsi="宋体" w:cs="宋体"/>
                <w:sz w:val="24"/>
              </w:rPr>
              <w:t>推荐国家级绿色制造名单的报告</w:t>
            </w:r>
          </w:p>
        </w:tc>
        <w:tc>
          <w:tcPr>
            <w:tcW w:w="1185" w:type="dxa"/>
            <w:vAlign w:val="center"/>
          </w:tcPr>
          <w:p w14:paraId="14D39823">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407BC8BF">
            <w:pPr>
              <w:spacing w:line="360" w:lineRule="auto"/>
              <w:rPr>
                <w:rFonts w:ascii="宋体" w:hAnsi="宋体" w:cs="宋体"/>
                <w:kern w:val="0"/>
                <w:sz w:val="22"/>
              </w:rPr>
            </w:pPr>
          </w:p>
        </w:tc>
      </w:tr>
      <w:tr w14:paraId="50FBD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57F8B5BB">
            <w:pPr>
              <w:spacing w:line="360" w:lineRule="auto"/>
              <w:jc w:val="center"/>
              <w:rPr>
                <w:rFonts w:ascii="宋体" w:hAnsi="宋体" w:cs="宋体"/>
                <w:kern w:val="0"/>
                <w:sz w:val="24"/>
              </w:rPr>
            </w:pPr>
          </w:p>
        </w:tc>
        <w:tc>
          <w:tcPr>
            <w:tcW w:w="1680" w:type="dxa"/>
            <w:vMerge w:val="continue"/>
            <w:vAlign w:val="center"/>
          </w:tcPr>
          <w:p w14:paraId="3B6BE5C4">
            <w:pPr>
              <w:spacing w:line="360" w:lineRule="auto"/>
              <w:jc w:val="center"/>
              <w:rPr>
                <w:rFonts w:ascii="宋体" w:hAnsi="宋体" w:cs="宋体"/>
                <w:kern w:val="0"/>
                <w:sz w:val="24"/>
              </w:rPr>
            </w:pPr>
          </w:p>
        </w:tc>
        <w:tc>
          <w:tcPr>
            <w:tcW w:w="2025" w:type="dxa"/>
            <w:vAlign w:val="center"/>
          </w:tcPr>
          <w:p w14:paraId="19D5DD71">
            <w:pPr>
              <w:spacing w:line="360" w:lineRule="auto"/>
              <w:jc w:val="center"/>
              <w:rPr>
                <w:rFonts w:ascii="宋体" w:hAnsi="宋体" w:cs="宋体"/>
                <w:kern w:val="0"/>
                <w:sz w:val="24"/>
              </w:rPr>
            </w:pPr>
            <w:r>
              <w:rPr>
                <w:rFonts w:hint="eastAsia" w:ascii="宋体" w:hAnsi="宋体" w:cs="宋体"/>
                <w:sz w:val="24"/>
              </w:rPr>
              <w:t>评选苏州市软件和信息服务业推动数字产业化发展“头雁”企业数</w:t>
            </w:r>
          </w:p>
        </w:tc>
        <w:tc>
          <w:tcPr>
            <w:tcW w:w="1500" w:type="dxa"/>
            <w:vAlign w:val="center"/>
          </w:tcPr>
          <w:p w14:paraId="33CEB840">
            <w:pPr>
              <w:spacing w:line="360" w:lineRule="auto"/>
              <w:jc w:val="center"/>
              <w:rPr>
                <w:rFonts w:ascii="宋体" w:hAnsi="宋体" w:cs="宋体"/>
                <w:kern w:val="0"/>
                <w:sz w:val="24"/>
              </w:rPr>
            </w:pPr>
            <w:r>
              <w:rPr>
                <w:rFonts w:hint="eastAsia" w:ascii="宋体" w:hAnsi="宋体" w:cs="宋体"/>
                <w:sz w:val="24"/>
              </w:rPr>
              <w:t>=10个</w:t>
            </w:r>
          </w:p>
        </w:tc>
        <w:tc>
          <w:tcPr>
            <w:tcW w:w="1470" w:type="dxa"/>
            <w:vAlign w:val="center"/>
          </w:tcPr>
          <w:p w14:paraId="11BF3E22">
            <w:pPr>
              <w:spacing w:line="360" w:lineRule="auto"/>
              <w:jc w:val="center"/>
              <w:rPr>
                <w:rFonts w:ascii="宋体" w:hAnsi="宋体" w:cs="宋体"/>
                <w:kern w:val="0"/>
                <w:sz w:val="24"/>
              </w:rPr>
            </w:pPr>
            <w:r>
              <w:rPr>
                <w:rFonts w:hint="eastAsia" w:ascii="宋体" w:hAnsi="宋体" w:cs="宋体"/>
                <w:sz w:val="24"/>
              </w:rPr>
              <w:t>10个</w:t>
            </w:r>
          </w:p>
        </w:tc>
        <w:tc>
          <w:tcPr>
            <w:tcW w:w="1815" w:type="dxa"/>
            <w:vAlign w:val="center"/>
          </w:tcPr>
          <w:p w14:paraId="46DF05C3">
            <w:pPr>
              <w:spacing w:line="360" w:lineRule="auto"/>
              <w:jc w:val="center"/>
              <w:rPr>
                <w:rFonts w:ascii="宋体" w:hAnsi="宋体" w:cs="宋体"/>
                <w:kern w:val="0"/>
                <w:sz w:val="24"/>
              </w:rPr>
            </w:pPr>
            <w:r>
              <w:rPr>
                <w:rFonts w:hint="eastAsia" w:ascii="宋体" w:hAnsi="宋体" w:cs="宋体"/>
                <w:sz w:val="24"/>
              </w:rPr>
              <w:t>“头雁”企业发文</w:t>
            </w:r>
          </w:p>
        </w:tc>
        <w:tc>
          <w:tcPr>
            <w:tcW w:w="1185" w:type="dxa"/>
            <w:vAlign w:val="center"/>
          </w:tcPr>
          <w:p w14:paraId="4E188EFC">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0342A7C3">
            <w:pPr>
              <w:spacing w:line="360" w:lineRule="auto"/>
              <w:rPr>
                <w:rFonts w:ascii="宋体" w:hAnsi="宋体" w:cs="宋体"/>
                <w:kern w:val="0"/>
                <w:sz w:val="22"/>
              </w:rPr>
            </w:pPr>
          </w:p>
        </w:tc>
      </w:tr>
      <w:tr w14:paraId="547F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645FA9CB">
            <w:pPr>
              <w:spacing w:line="360" w:lineRule="auto"/>
              <w:jc w:val="center"/>
              <w:rPr>
                <w:rFonts w:ascii="宋体" w:hAnsi="宋体" w:cs="宋体"/>
                <w:kern w:val="0"/>
                <w:sz w:val="24"/>
              </w:rPr>
            </w:pPr>
          </w:p>
        </w:tc>
        <w:tc>
          <w:tcPr>
            <w:tcW w:w="1680" w:type="dxa"/>
            <w:vMerge w:val="continue"/>
            <w:vAlign w:val="center"/>
          </w:tcPr>
          <w:p w14:paraId="34F0659C">
            <w:pPr>
              <w:spacing w:line="360" w:lineRule="auto"/>
              <w:jc w:val="center"/>
              <w:rPr>
                <w:rFonts w:ascii="宋体" w:hAnsi="宋体" w:cs="宋体"/>
                <w:kern w:val="0"/>
                <w:sz w:val="24"/>
              </w:rPr>
            </w:pPr>
          </w:p>
        </w:tc>
        <w:tc>
          <w:tcPr>
            <w:tcW w:w="2025" w:type="dxa"/>
            <w:vAlign w:val="center"/>
          </w:tcPr>
          <w:p w14:paraId="7C45C80E">
            <w:pPr>
              <w:spacing w:line="360" w:lineRule="auto"/>
              <w:jc w:val="center"/>
              <w:rPr>
                <w:rFonts w:ascii="宋体" w:hAnsi="宋体" w:cs="宋体"/>
                <w:kern w:val="0"/>
                <w:sz w:val="24"/>
              </w:rPr>
            </w:pPr>
            <w:r>
              <w:rPr>
                <w:rFonts w:hint="eastAsia" w:ascii="宋体" w:hAnsi="宋体" w:cs="宋体"/>
                <w:sz w:val="24"/>
              </w:rPr>
              <w:t>苏州市工业企业增资扩产奖励资金被奖补项目政策符合率</w:t>
            </w:r>
          </w:p>
        </w:tc>
        <w:tc>
          <w:tcPr>
            <w:tcW w:w="1500" w:type="dxa"/>
            <w:vAlign w:val="center"/>
          </w:tcPr>
          <w:p w14:paraId="3D60A858">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494EE9F7">
            <w:pPr>
              <w:spacing w:line="360" w:lineRule="auto"/>
              <w:jc w:val="center"/>
              <w:rPr>
                <w:rFonts w:ascii="宋体" w:hAnsi="宋体" w:cs="宋体"/>
                <w:kern w:val="0"/>
                <w:sz w:val="24"/>
              </w:rPr>
            </w:pPr>
            <w:r>
              <w:rPr>
                <w:rFonts w:hint="eastAsia" w:ascii="宋体" w:hAnsi="宋体" w:cs="宋体"/>
                <w:sz w:val="24"/>
              </w:rPr>
              <w:t>100%</w:t>
            </w:r>
          </w:p>
        </w:tc>
        <w:tc>
          <w:tcPr>
            <w:tcW w:w="1815" w:type="dxa"/>
            <w:vAlign w:val="center"/>
          </w:tcPr>
          <w:p w14:paraId="75E717A3">
            <w:pPr>
              <w:spacing w:line="360" w:lineRule="auto"/>
              <w:jc w:val="center"/>
              <w:rPr>
                <w:rFonts w:ascii="宋体" w:hAnsi="宋体" w:cs="宋体"/>
                <w:kern w:val="0"/>
                <w:sz w:val="24"/>
              </w:rPr>
            </w:pPr>
            <w:r>
              <w:rPr>
                <w:rFonts w:hint="eastAsia" w:ascii="宋体" w:hAnsi="宋体" w:cs="宋体"/>
                <w:sz w:val="24"/>
              </w:rPr>
              <w:t>资金拨付通知</w:t>
            </w:r>
          </w:p>
        </w:tc>
        <w:tc>
          <w:tcPr>
            <w:tcW w:w="1185" w:type="dxa"/>
            <w:vAlign w:val="center"/>
          </w:tcPr>
          <w:p w14:paraId="0F672F38">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00FD561E">
            <w:pPr>
              <w:spacing w:line="360" w:lineRule="auto"/>
              <w:rPr>
                <w:rFonts w:ascii="宋体" w:hAnsi="宋体" w:cs="宋体"/>
                <w:kern w:val="0"/>
                <w:sz w:val="22"/>
              </w:rPr>
            </w:pPr>
          </w:p>
        </w:tc>
      </w:tr>
      <w:tr w14:paraId="57FDC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3DDD81F6">
            <w:pPr>
              <w:spacing w:line="360" w:lineRule="auto"/>
              <w:jc w:val="center"/>
              <w:rPr>
                <w:rFonts w:ascii="宋体" w:hAnsi="宋体" w:cs="宋体"/>
                <w:kern w:val="0"/>
                <w:sz w:val="24"/>
              </w:rPr>
            </w:pPr>
          </w:p>
        </w:tc>
        <w:tc>
          <w:tcPr>
            <w:tcW w:w="1680" w:type="dxa"/>
            <w:vMerge w:val="continue"/>
            <w:vAlign w:val="center"/>
          </w:tcPr>
          <w:p w14:paraId="4677B124">
            <w:pPr>
              <w:spacing w:line="360" w:lineRule="auto"/>
              <w:jc w:val="center"/>
              <w:rPr>
                <w:rFonts w:ascii="宋体" w:hAnsi="宋体" w:cs="宋体"/>
                <w:kern w:val="0"/>
                <w:sz w:val="24"/>
              </w:rPr>
            </w:pPr>
          </w:p>
        </w:tc>
        <w:tc>
          <w:tcPr>
            <w:tcW w:w="2025" w:type="dxa"/>
            <w:vAlign w:val="center"/>
          </w:tcPr>
          <w:p w14:paraId="50335FDD">
            <w:pPr>
              <w:spacing w:line="360" w:lineRule="auto"/>
              <w:jc w:val="center"/>
              <w:rPr>
                <w:rFonts w:ascii="宋体" w:hAnsi="宋体" w:cs="宋体"/>
                <w:kern w:val="0"/>
                <w:sz w:val="24"/>
              </w:rPr>
            </w:pPr>
            <w:r>
              <w:rPr>
                <w:rFonts w:hint="eastAsia" w:ascii="宋体" w:hAnsi="宋体" w:cs="宋体"/>
                <w:sz w:val="24"/>
              </w:rPr>
              <w:t>协作地区工作互访人次</w:t>
            </w:r>
          </w:p>
        </w:tc>
        <w:tc>
          <w:tcPr>
            <w:tcW w:w="1500" w:type="dxa"/>
            <w:vAlign w:val="center"/>
          </w:tcPr>
          <w:p w14:paraId="449AD097">
            <w:pPr>
              <w:spacing w:line="360" w:lineRule="auto"/>
              <w:jc w:val="center"/>
              <w:rPr>
                <w:rFonts w:hint="eastAsia" w:ascii="宋体" w:hAnsi="宋体" w:eastAsia="宋体" w:cs="宋体"/>
                <w:kern w:val="0"/>
                <w:sz w:val="24"/>
                <w:lang w:eastAsia="zh-CN"/>
              </w:rPr>
            </w:pPr>
            <w:r>
              <w:rPr>
                <w:rFonts w:hint="eastAsia" w:ascii="宋体" w:hAnsi="宋体" w:cs="宋体"/>
                <w:sz w:val="24"/>
              </w:rPr>
              <w:t>&gt;=20</w:t>
            </w:r>
            <w:r>
              <w:rPr>
                <w:rFonts w:hint="eastAsia" w:ascii="宋体" w:hAnsi="宋体" w:cs="宋体"/>
                <w:sz w:val="24"/>
                <w:lang w:eastAsia="zh-CN"/>
              </w:rPr>
              <w:t>人</w:t>
            </w:r>
          </w:p>
        </w:tc>
        <w:tc>
          <w:tcPr>
            <w:tcW w:w="1470" w:type="dxa"/>
            <w:vAlign w:val="center"/>
          </w:tcPr>
          <w:p w14:paraId="5B5C421D">
            <w:pPr>
              <w:spacing w:line="360" w:lineRule="auto"/>
              <w:jc w:val="center"/>
              <w:rPr>
                <w:rFonts w:ascii="宋体" w:hAnsi="宋体" w:cs="宋体"/>
                <w:kern w:val="0"/>
                <w:sz w:val="24"/>
              </w:rPr>
            </w:pPr>
            <w:r>
              <w:rPr>
                <w:rFonts w:hint="eastAsia" w:ascii="宋体" w:hAnsi="宋体" w:cs="宋体"/>
                <w:sz w:val="24"/>
              </w:rPr>
              <w:t>20人</w:t>
            </w:r>
          </w:p>
        </w:tc>
        <w:tc>
          <w:tcPr>
            <w:tcW w:w="1815" w:type="dxa"/>
            <w:vAlign w:val="center"/>
          </w:tcPr>
          <w:p w14:paraId="2A443F03">
            <w:pPr>
              <w:spacing w:line="360" w:lineRule="auto"/>
              <w:jc w:val="center"/>
              <w:rPr>
                <w:rFonts w:ascii="宋体" w:hAnsi="宋体" w:cs="宋体"/>
                <w:kern w:val="0"/>
                <w:sz w:val="24"/>
              </w:rPr>
            </w:pPr>
            <w:r>
              <w:rPr>
                <w:rFonts w:hint="eastAsia" w:ascii="宋体" w:hAnsi="宋体" w:cs="宋体"/>
                <w:sz w:val="24"/>
              </w:rPr>
              <w:t>协作地区交流函</w:t>
            </w:r>
          </w:p>
        </w:tc>
        <w:tc>
          <w:tcPr>
            <w:tcW w:w="1185" w:type="dxa"/>
            <w:vAlign w:val="center"/>
          </w:tcPr>
          <w:p w14:paraId="64F78DEB">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42BEF4B2">
            <w:pPr>
              <w:spacing w:line="360" w:lineRule="auto"/>
              <w:rPr>
                <w:rFonts w:ascii="宋体" w:hAnsi="宋体" w:cs="宋体"/>
                <w:kern w:val="0"/>
                <w:sz w:val="22"/>
              </w:rPr>
            </w:pPr>
          </w:p>
        </w:tc>
      </w:tr>
      <w:tr w14:paraId="64992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58B80C16">
            <w:pPr>
              <w:spacing w:line="360" w:lineRule="auto"/>
              <w:jc w:val="center"/>
              <w:rPr>
                <w:rFonts w:ascii="宋体" w:hAnsi="宋体" w:cs="宋体"/>
                <w:kern w:val="0"/>
                <w:sz w:val="24"/>
              </w:rPr>
            </w:pPr>
          </w:p>
        </w:tc>
        <w:tc>
          <w:tcPr>
            <w:tcW w:w="1680" w:type="dxa"/>
            <w:vMerge w:val="continue"/>
            <w:vAlign w:val="center"/>
          </w:tcPr>
          <w:p w14:paraId="7041EABF">
            <w:pPr>
              <w:spacing w:line="360" w:lineRule="auto"/>
              <w:jc w:val="center"/>
              <w:rPr>
                <w:rFonts w:ascii="宋体" w:hAnsi="宋体" w:cs="宋体"/>
                <w:kern w:val="0"/>
                <w:sz w:val="24"/>
              </w:rPr>
            </w:pPr>
          </w:p>
        </w:tc>
        <w:tc>
          <w:tcPr>
            <w:tcW w:w="2025" w:type="dxa"/>
            <w:vAlign w:val="center"/>
          </w:tcPr>
          <w:p w14:paraId="7FD7CC2B">
            <w:pPr>
              <w:spacing w:line="360" w:lineRule="auto"/>
              <w:jc w:val="center"/>
              <w:rPr>
                <w:rFonts w:ascii="宋体" w:hAnsi="宋体" w:cs="宋体"/>
                <w:kern w:val="0"/>
                <w:sz w:val="24"/>
              </w:rPr>
            </w:pPr>
            <w:r>
              <w:rPr>
                <w:rFonts w:hint="eastAsia" w:ascii="宋体" w:hAnsi="宋体" w:cs="宋体"/>
                <w:sz w:val="24"/>
              </w:rPr>
              <w:t>化工项目会商和监测点认定评审会议召开次数</w:t>
            </w:r>
          </w:p>
        </w:tc>
        <w:tc>
          <w:tcPr>
            <w:tcW w:w="1500" w:type="dxa"/>
            <w:vAlign w:val="center"/>
          </w:tcPr>
          <w:p w14:paraId="7133EEEB">
            <w:pPr>
              <w:spacing w:line="360" w:lineRule="auto"/>
              <w:jc w:val="center"/>
              <w:rPr>
                <w:rFonts w:ascii="宋体" w:hAnsi="宋体" w:cs="宋体"/>
                <w:kern w:val="0"/>
                <w:sz w:val="24"/>
              </w:rPr>
            </w:pPr>
            <w:r>
              <w:rPr>
                <w:rFonts w:hint="eastAsia" w:ascii="宋体" w:hAnsi="宋体" w:cs="宋体"/>
                <w:sz w:val="24"/>
              </w:rPr>
              <w:t>&gt;=2次</w:t>
            </w:r>
          </w:p>
        </w:tc>
        <w:tc>
          <w:tcPr>
            <w:tcW w:w="1470" w:type="dxa"/>
            <w:vAlign w:val="center"/>
          </w:tcPr>
          <w:p w14:paraId="32125F5A">
            <w:pPr>
              <w:spacing w:line="360" w:lineRule="auto"/>
              <w:jc w:val="center"/>
              <w:rPr>
                <w:rFonts w:ascii="宋体" w:hAnsi="宋体" w:cs="宋体"/>
                <w:kern w:val="0"/>
                <w:sz w:val="24"/>
              </w:rPr>
            </w:pPr>
            <w:r>
              <w:rPr>
                <w:rFonts w:hint="eastAsia" w:ascii="宋体" w:hAnsi="宋体" w:cs="宋体"/>
                <w:sz w:val="24"/>
              </w:rPr>
              <w:t>4次</w:t>
            </w:r>
          </w:p>
        </w:tc>
        <w:tc>
          <w:tcPr>
            <w:tcW w:w="1815" w:type="dxa"/>
            <w:vAlign w:val="center"/>
          </w:tcPr>
          <w:p w14:paraId="0593A5CA">
            <w:pPr>
              <w:spacing w:line="360" w:lineRule="auto"/>
              <w:jc w:val="center"/>
              <w:rPr>
                <w:rFonts w:ascii="宋体" w:hAnsi="宋体" w:cs="宋体"/>
                <w:kern w:val="0"/>
                <w:sz w:val="24"/>
              </w:rPr>
            </w:pPr>
            <w:r>
              <w:rPr>
                <w:rFonts w:hint="eastAsia" w:ascii="宋体" w:hAnsi="宋体" w:cs="宋体"/>
                <w:sz w:val="24"/>
              </w:rPr>
              <w:t>会议通知及纪要</w:t>
            </w:r>
          </w:p>
        </w:tc>
        <w:tc>
          <w:tcPr>
            <w:tcW w:w="1185" w:type="dxa"/>
            <w:vAlign w:val="center"/>
          </w:tcPr>
          <w:p w14:paraId="69B2A97A">
            <w:pPr>
              <w:spacing w:line="360" w:lineRule="auto"/>
              <w:jc w:val="center"/>
              <w:rPr>
                <w:rFonts w:ascii="宋体" w:hAnsi="宋体" w:cs="宋体"/>
                <w:kern w:val="0"/>
                <w:sz w:val="24"/>
              </w:rPr>
            </w:pPr>
            <w:r>
              <w:rPr>
                <w:rFonts w:hint="eastAsia" w:ascii="宋体" w:hAnsi="宋体" w:cs="宋体"/>
                <w:sz w:val="24"/>
              </w:rPr>
              <w:t>100.00%</w:t>
            </w:r>
          </w:p>
        </w:tc>
        <w:tc>
          <w:tcPr>
            <w:tcW w:w="3248" w:type="dxa"/>
          </w:tcPr>
          <w:p w14:paraId="7B7FF5F4">
            <w:pPr>
              <w:spacing w:line="360" w:lineRule="auto"/>
              <w:rPr>
                <w:rFonts w:ascii="宋体" w:hAnsi="宋体" w:cs="宋体"/>
                <w:kern w:val="0"/>
                <w:sz w:val="22"/>
              </w:rPr>
            </w:pPr>
            <w:r>
              <w:rPr>
                <w:rFonts w:hint="eastAsia" w:ascii="宋体" w:hAnsi="宋体" w:cs="宋体"/>
                <w:sz w:val="24"/>
              </w:rPr>
              <w:t>从服务企业的角度，根据各地实际上报的化工项目会商需求情况及时开展会商。</w:t>
            </w:r>
          </w:p>
        </w:tc>
      </w:tr>
      <w:tr w14:paraId="1AAA6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13BFD6AF">
            <w:pPr>
              <w:spacing w:line="360" w:lineRule="auto"/>
              <w:jc w:val="center"/>
              <w:rPr>
                <w:rFonts w:ascii="宋体" w:hAnsi="宋体" w:cs="宋体"/>
                <w:kern w:val="0"/>
                <w:sz w:val="24"/>
              </w:rPr>
            </w:pPr>
          </w:p>
        </w:tc>
        <w:tc>
          <w:tcPr>
            <w:tcW w:w="1680" w:type="dxa"/>
            <w:vMerge w:val="continue"/>
            <w:vAlign w:val="center"/>
          </w:tcPr>
          <w:p w14:paraId="2F5A555B">
            <w:pPr>
              <w:spacing w:line="360" w:lineRule="auto"/>
              <w:jc w:val="center"/>
              <w:rPr>
                <w:rFonts w:ascii="宋体" w:hAnsi="宋体" w:cs="宋体"/>
                <w:kern w:val="0"/>
                <w:sz w:val="24"/>
              </w:rPr>
            </w:pPr>
          </w:p>
        </w:tc>
        <w:tc>
          <w:tcPr>
            <w:tcW w:w="2025" w:type="dxa"/>
            <w:vAlign w:val="center"/>
          </w:tcPr>
          <w:p w14:paraId="143F1AE3">
            <w:pPr>
              <w:spacing w:line="360" w:lineRule="auto"/>
              <w:jc w:val="center"/>
              <w:rPr>
                <w:rFonts w:ascii="宋体" w:hAnsi="宋体" w:cs="宋体"/>
                <w:kern w:val="0"/>
                <w:sz w:val="24"/>
              </w:rPr>
            </w:pPr>
            <w:r>
              <w:rPr>
                <w:rFonts w:hint="eastAsia" w:ascii="宋体" w:hAnsi="宋体" w:cs="宋体"/>
                <w:sz w:val="24"/>
              </w:rPr>
              <w:t>在苏州日报开通宣传版面质量达标率</w:t>
            </w:r>
          </w:p>
        </w:tc>
        <w:tc>
          <w:tcPr>
            <w:tcW w:w="1500" w:type="dxa"/>
            <w:vAlign w:val="center"/>
          </w:tcPr>
          <w:p w14:paraId="65FDAAF1">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2FD1EB08">
            <w:pPr>
              <w:spacing w:line="360" w:lineRule="auto"/>
              <w:jc w:val="center"/>
              <w:rPr>
                <w:rFonts w:ascii="宋体" w:hAnsi="宋体" w:cs="宋体"/>
                <w:kern w:val="0"/>
                <w:sz w:val="24"/>
              </w:rPr>
            </w:pPr>
            <w:r>
              <w:rPr>
                <w:rFonts w:hint="eastAsia" w:ascii="宋体" w:hAnsi="宋体" w:cs="宋体"/>
                <w:sz w:val="24"/>
              </w:rPr>
              <w:t>100%</w:t>
            </w:r>
          </w:p>
        </w:tc>
        <w:tc>
          <w:tcPr>
            <w:tcW w:w="1815" w:type="dxa"/>
            <w:vAlign w:val="center"/>
          </w:tcPr>
          <w:p w14:paraId="25A7C0E3">
            <w:pPr>
              <w:spacing w:line="360" w:lineRule="auto"/>
              <w:jc w:val="center"/>
              <w:rPr>
                <w:rFonts w:ascii="宋体" w:hAnsi="宋体" w:cs="宋体"/>
                <w:kern w:val="0"/>
                <w:sz w:val="24"/>
              </w:rPr>
            </w:pPr>
            <w:r>
              <w:rPr>
                <w:rFonts w:hint="eastAsia" w:ascii="宋体" w:hAnsi="宋体" w:cs="宋体"/>
                <w:sz w:val="24"/>
              </w:rPr>
              <w:t>验收报告</w:t>
            </w:r>
          </w:p>
        </w:tc>
        <w:tc>
          <w:tcPr>
            <w:tcW w:w="1185" w:type="dxa"/>
            <w:vAlign w:val="center"/>
          </w:tcPr>
          <w:p w14:paraId="23E4A278">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1CD5ABD9">
            <w:pPr>
              <w:spacing w:line="360" w:lineRule="auto"/>
              <w:rPr>
                <w:rFonts w:ascii="宋体" w:hAnsi="宋体" w:cs="宋体"/>
                <w:kern w:val="0"/>
                <w:sz w:val="22"/>
              </w:rPr>
            </w:pPr>
          </w:p>
        </w:tc>
      </w:tr>
      <w:tr w14:paraId="2B75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53EC19D4">
            <w:pPr>
              <w:spacing w:line="360" w:lineRule="auto"/>
              <w:jc w:val="center"/>
              <w:rPr>
                <w:rFonts w:ascii="宋体" w:hAnsi="宋体" w:cs="宋体"/>
                <w:kern w:val="0"/>
                <w:sz w:val="24"/>
              </w:rPr>
            </w:pPr>
          </w:p>
        </w:tc>
        <w:tc>
          <w:tcPr>
            <w:tcW w:w="1680" w:type="dxa"/>
            <w:vMerge w:val="continue"/>
            <w:vAlign w:val="center"/>
          </w:tcPr>
          <w:p w14:paraId="44365C8B">
            <w:pPr>
              <w:spacing w:line="360" w:lineRule="auto"/>
              <w:jc w:val="center"/>
              <w:rPr>
                <w:rFonts w:ascii="宋体" w:hAnsi="宋体" w:cs="宋体"/>
                <w:kern w:val="0"/>
                <w:sz w:val="24"/>
              </w:rPr>
            </w:pPr>
          </w:p>
        </w:tc>
        <w:tc>
          <w:tcPr>
            <w:tcW w:w="2025" w:type="dxa"/>
            <w:vAlign w:val="center"/>
          </w:tcPr>
          <w:p w14:paraId="38A99A7D">
            <w:pPr>
              <w:spacing w:line="360" w:lineRule="auto"/>
              <w:jc w:val="center"/>
              <w:rPr>
                <w:rFonts w:ascii="宋体" w:hAnsi="宋体" w:cs="宋体"/>
                <w:kern w:val="0"/>
                <w:sz w:val="24"/>
              </w:rPr>
            </w:pPr>
            <w:r>
              <w:rPr>
                <w:rFonts w:hint="eastAsia" w:ascii="宋体" w:hAnsi="宋体" w:cs="宋体"/>
                <w:sz w:val="24"/>
              </w:rPr>
              <w:t>苏州市工业企业增资扩产奖励资金项目评审工作完成及时性</w:t>
            </w:r>
          </w:p>
        </w:tc>
        <w:tc>
          <w:tcPr>
            <w:tcW w:w="1500" w:type="dxa"/>
            <w:vAlign w:val="center"/>
          </w:tcPr>
          <w:p w14:paraId="611756D2">
            <w:pPr>
              <w:spacing w:line="360" w:lineRule="auto"/>
              <w:jc w:val="center"/>
              <w:rPr>
                <w:rFonts w:ascii="宋体" w:hAnsi="宋体" w:cs="宋体"/>
                <w:kern w:val="0"/>
                <w:sz w:val="24"/>
              </w:rPr>
            </w:pPr>
            <w:r>
              <w:rPr>
                <w:rFonts w:hint="eastAsia" w:ascii="宋体" w:hAnsi="宋体" w:cs="宋体"/>
                <w:sz w:val="24"/>
              </w:rPr>
              <w:t>及时</w:t>
            </w:r>
          </w:p>
        </w:tc>
        <w:tc>
          <w:tcPr>
            <w:tcW w:w="1470" w:type="dxa"/>
            <w:vAlign w:val="center"/>
          </w:tcPr>
          <w:p w14:paraId="4D9A527E">
            <w:pPr>
              <w:spacing w:line="360" w:lineRule="auto"/>
              <w:jc w:val="center"/>
              <w:rPr>
                <w:rFonts w:ascii="宋体" w:hAnsi="宋体" w:cs="宋体"/>
                <w:kern w:val="0"/>
                <w:sz w:val="24"/>
              </w:rPr>
            </w:pPr>
            <w:r>
              <w:rPr>
                <w:rFonts w:hint="eastAsia" w:ascii="宋体" w:hAnsi="宋体" w:cs="宋体"/>
                <w:sz w:val="24"/>
              </w:rPr>
              <w:t>及时</w:t>
            </w:r>
          </w:p>
        </w:tc>
        <w:tc>
          <w:tcPr>
            <w:tcW w:w="1815" w:type="dxa"/>
            <w:vAlign w:val="center"/>
          </w:tcPr>
          <w:p w14:paraId="3204CC22">
            <w:pPr>
              <w:spacing w:line="360" w:lineRule="auto"/>
              <w:jc w:val="center"/>
              <w:rPr>
                <w:rFonts w:ascii="宋体" w:hAnsi="宋体" w:cs="宋体"/>
                <w:kern w:val="0"/>
                <w:sz w:val="24"/>
              </w:rPr>
            </w:pPr>
            <w:r>
              <w:rPr>
                <w:rFonts w:hint="eastAsia" w:ascii="宋体" w:hAnsi="宋体" w:cs="宋体"/>
                <w:sz w:val="24"/>
              </w:rPr>
              <w:t>申报通知、资金拨付通知</w:t>
            </w:r>
          </w:p>
        </w:tc>
        <w:tc>
          <w:tcPr>
            <w:tcW w:w="1185" w:type="dxa"/>
            <w:vAlign w:val="center"/>
          </w:tcPr>
          <w:p w14:paraId="5E31DAF1">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38EFD526">
            <w:pPr>
              <w:spacing w:line="360" w:lineRule="auto"/>
              <w:rPr>
                <w:rFonts w:ascii="宋体" w:hAnsi="宋体" w:cs="宋体"/>
                <w:kern w:val="0"/>
                <w:sz w:val="22"/>
              </w:rPr>
            </w:pPr>
          </w:p>
        </w:tc>
      </w:tr>
      <w:tr w14:paraId="0156D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4049E31B">
            <w:pPr>
              <w:spacing w:line="360" w:lineRule="auto"/>
              <w:jc w:val="center"/>
              <w:rPr>
                <w:rFonts w:ascii="宋体" w:hAnsi="宋体" w:cs="宋体"/>
                <w:kern w:val="0"/>
                <w:sz w:val="24"/>
              </w:rPr>
            </w:pPr>
          </w:p>
        </w:tc>
        <w:tc>
          <w:tcPr>
            <w:tcW w:w="1680" w:type="dxa"/>
            <w:vMerge w:val="continue"/>
            <w:vAlign w:val="center"/>
          </w:tcPr>
          <w:p w14:paraId="48455D84">
            <w:pPr>
              <w:spacing w:line="360" w:lineRule="auto"/>
              <w:jc w:val="center"/>
              <w:rPr>
                <w:rFonts w:ascii="宋体" w:hAnsi="宋体" w:cs="宋体"/>
                <w:kern w:val="0"/>
                <w:sz w:val="24"/>
              </w:rPr>
            </w:pPr>
          </w:p>
        </w:tc>
        <w:tc>
          <w:tcPr>
            <w:tcW w:w="2025" w:type="dxa"/>
            <w:vAlign w:val="center"/>
          </w:tcPr>
          <w:p w14:paraId="0A34F9DB">
            <w:pPr>
              <w:spacing w:line="360" w:lineRule="auto"/>
              <w:jc w:val="center"/>
              <w:rPr>
                <w:rFonts w:ascii="宋体" w:hAnsi="宋体" w:cs="宋体"/>
                <w:kern w:val="0"/>
                <w:sz w:val="24"/>
              </w:rPr>
            </w:pPr>
            <w:r>
              <w:rPr>
                <w:rFonts w:hint="eastAsia" w:ascii="宋体" w:hAnsi="宋体" w:cs="宋体"/>
                <w:sz w:val="24"/>
              </w:rPr>
              <w:t>“苏州工信”微信公众号推送信息条数</w:t>
            </w:r>
          </w:p>
        </w:tc>
        <w:tc>
          <w:tcPr>
            <w:tcW w:w="1500" w:type="dxa"/>
            <w:vAlign w:val="center"/>
          </w:tcPr>
          <w:p w14:paraId="71B39DE5">
            <w:pPr>
              <w:spacing w:line="360" w:lineRule="auto"/>
              <w:jc w:val="center"/>
              <w:rPr>
                <w:rFonts w:ascii="宋体" w:hAnsi="宋体" w:cs="宋体"/>
                <w:kern w:val="0"/>
                <w:sz w:val="24"/>
              </w:rPr>
            </w:pPr>
            <w:r>
              <w:rPr>
                <w:rFonts w:hint="eastAsia" w:ascii="宋体" w:hAnsi="宋体" w:cs="宋体"/>
                <w:sz w:val="24"/>
              </w:rPr>
              <w:t>=600条</w:t>
            </w:r>
          </w:p>
        </w:tc>
        <w:tc>
          <w:tcPr>
            <w:tcW w:w="1470" w:type="dxa"/>
            <w:vAlign w:val="center"/>
          </w:tcPr>
          <w:p w14:paraId="0A79C17F">
            <w:pPr>
              <w:spacing w:line="360" w:lineRule="auto"/>
              <w:jc w:val="center"/>
              <w:rPr>
                <w:rFonts w:ascii="宋体" w:hAnsi="宋体" w:cs="宋体"/>
                <w:kern w:val="0"/>
                <w:sz w:val="24"/>
              </w:rPr>
            </w:pPr>
            <w:r>
              <w:rPr>
                <w:rFonts w:hint="eastAsia" w:ascii="宋体" w:hAnsi="宋体" w:cs="宋体"/>
                <w:sz w:val="24"/>
              </w:rPr>
              <w:t>469条</w:t>
            </w:r>
          </w:p>
        </w:tc>
        <w:tc>
          <w:tcPr>
            <w:tcW w:w="1815" w:type="dxa"/>
            <w:vAlign w:val="center"/>
          </w:tcPr>
          <w:p w14:paraId="48775F49">
            <w:pPr>
              <w:spacing w:line="360" w:lineRule="auto"/>
              <w:jc w:val="center"/>
              <w:rPr>
                <w:rFonts w:ascii="宋体" w:hAnsi="宋体" w:cs="宋体"/>
                <w:kern w:val="0"/>
                <w:sz w:val="24"/>
              </w:rPr>
            </w:pPr>
            <w:r>
              <w:rPr>
                <w:rFonts w:hint="eastAsia" w:ascii="宋体" w:hAnsi="宋体" w:cs="宋体"/>
                <w:sz w:val="24"/>
              </w:rPr>
              <w:t>系统后台数据截图</w:t>
            </w:r>
          </w:p>
        </w:tc>
        <w:tc>
          <w:tcPr>
            <w:tcW w:w="1185" w:type="dxa"/>
            <w:vAlign w:val="center"/>
          </w:tcPr>
          <w:p w14:paraId="41537B0C">
            <w:pPr>
              <w:spacing w:line="360" w:lineRule="auto"/>
              <w:jc w:val="center"/>
              <w:rPr>
                <w:rFonts w:ascii="宋体" w:hAnsi="宋体" w:cs="宋体"/>
                <w:kern w:val="0"/>
                <w:sz w:val="24"/>
              </w:rPr>
            </w:pPr>
            <w:r>
              <w:rPr>
                <w:rFonts w:hint="eastAsia" w:ascii="宋体" w:hAnsi="宋体" w:cs="宋体"/>
                <w:sz w:val="24"/>
              </w:rPr>
              <w:t>-21.83%</w:t>
            </w:r>
          </w:p>
        </w:tc>
        <w:tc>
          <w:tcPr>
            <w:tcW w:w="3248" w:type="dxa"/>
          </w:tcPr>
          <w:p w14:paraId="187779D4">
            <w:pPr>
              <w:spacing w:line="360" w:lineRule="auto"/>
              <w:rPr>
                <w:rFonts w:ascii="宋体" w:hAnsi="宋体" w:cs="宋体"/>
                <w:kern w:val="0"/>
                <w:sz w:val="22"/>
              </w:rPr>
            </w:pPr>
            <w:r>
              <w:rPr>
                <w:rFonts w:hint="eastAsia" w:ascii="宋体" w:hAnsi="宋体" w:cs="宋体"/>
                <w:sz w:val="24"/>
              </w:rPr>
              <w:t>1、发布内容偏转载，缺少原创性内容。发布内容挖掘不深，局限于常规事务报道，对业务背后的创新举措、政策解读深度内容挖掘不足，影响发布数量。 2、缺乏系统的新媒体运营培训，对内容创作、排版技巧、发布规律等方面的知识掌握不足，从而影响了发布数量。</w:t>
            </w:r>
          </w:p>
        </w:tc>
      </w:tr>
      <w:tr w14:paraId="2C574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40DDCAFA">
            <w:pPr>
              <w:spacing w:line="360" w:lineRule="auto"/>
              <w:jc w:val="center"/>
              <w:rPr>
                <w:rFonts w:ascii="宋体" w:hAnsi="宋体" w:cs="宋体"/>
                <w:kern w:val="0"/>
                <w:sz w:val="24"/>
              </w:rPr>
            </w:pPr>
          </w:p>
        </w:tc>
        <w:tc>
          <w:tcPr>
            <w:tcW w:w="1680" w:type="dxa"/>
            <w:vMerge w:val="continue"/>
            <w:vAlign w:val="center"/>
          </w:tcPr>
          <w:p w14:paraId="25344F54">
            <w:pPr>
              <w:spacing w:line="360" w:lineRule="auto"/>
              <w:jc w:val="center"/>
              <w:rPr>
                <w:rFonts w:ascii="宋体" w:hAnsi="宋体" w:cs="宋体"/>
                <w:kern w:val="0"/>
                <w:sz w:val="24"/>
              </w:rPr>
            </w:pPr>
          </w:p>
        </w:tc>
        <w:tc>
          <w:tcPr>
            <w:tcW w:w="2025" w:type="dxa"/>
            <w:vAlign w:val="center"/>
          </w:tcPr>
          <w:p w14:paraId="693F2A40">
            <w:pPr>
              <w:spacing w:line="360" w:lineRule="auto"/>
              <w:jc w:val="center"/>
              <w:rPr>
                <w:rFonts w:ascii="宋体" w:hAnsi="宋体" w:cs="宋体"/>
                <w:kern w:val="0"/>
                <w:sz w:val="24"/>
              </w:rPr>
            </w:pPr>
            <w:r>
              <w:rPr>
                <w:rFonts w:hint="eastAsia" w:ascii="宋体" w:hAnsi="宋体" w:cs="宋体"/>
                <w:sz w:val="24"/>
              </w:rPr>
              <w:t>制定年度技改工作目标</w:t>
            </w:r>
          </w:p>
        </w:tc>
        <w:tc>
          <w:tcPr>
            <w:tcW w:w="1500" w:type="dxa"/>
            <w:vAlign w:val="center"/>
          </w:tcPr>
          <w:p w14:paraId="78919413">
            <w:pPr>
              <w:spacing w:line="360" w:lineRule="auto"/>
              <w:jc w:val="center"/>
              <w:rPr>
                <w:rFonts w:ascii="宋体" w:hAnsi="宋体" w:cs="宋体"/>
                <w:kern w:val="0"/>
                <w:sz w:val="24"/>
              </w:rPr>
            </w:pPr>
            <w:r>
              <w:rPr>
                <w:rFonts w:hint="eastAsia" w:ascii="宋体" w:hAnsi="宋体" w:cs="宋体"/>
                <w:sz w:val="24"/>
              </w:rPr>
              <w:t>完成</w:t>
            </w:r>
          </w:p>
        </w:tc>
        <w:tc>
          <w:tcPr>
            <w:tcW w:w="1470" w:type="dxa"/>
            <w:vAlign w:val="center"/>
          </w:tcPr>
          <w:p w14:paraId="5C43C09F">
            <w:pPr>
              <w:spacing w:line="360" w:lineRule="auto"/>
              <w:jc w:val="center"/>
              <w:rPr>
                <w:rFonts w:ascii="宋体" w:hAnsi="宋体" w:cs="宋体"/>
                <w:kern w:val="0"/>
                <w:sz w:val="24"/>
              </w:rPr>
            </w:pPr>
            <w:r>
              <w:rPr>
                <w:rFonts w:hint="eastAsia" w:ascii="宋体" w:hAnsi="宋体" w:cs="宋体"/>
                <w:sz w:val="24"/>
              </w:rPr>
              <w:t>完成</w:t>
            </w:r>
          </w:p>
        </w:tc>
        <w:tc>
          <w:tcPr>
            <w:tcW w:w="1815" w:type="dxa"/>
            <w:vAlign w:val="center"/>
          </w:tcPr>
          <w:p w14:paraId="32A8FFF2">
            <w:pPr>
              <w:spacing w:line="360" w:lineRule="auto"/>
              <w:jc w:val="center"/>
              <w:rPr>
                <w:rFonts w:ascii="宋体" w:hAnsi="宋体" w:cs="宋体"/>
                <w:kern w:val="0"/>
                <w:sz w:val="24"/>
              </w:rPr>
            </w:pPr>
            <w:r>
              <w:rPr>
                <w:rFonts w:hint="eastAsia" w:ascii="宋体" w:hAnsi="宋体" w:cs="宋体"/>
                <w:sz w:val="24"/>
              </w:rPr>
              <w:t>推动工业领域设备更新实施方案、增资扩产项目清单</w:t>
            </w:r>
          </w:p>
        </w:tc>
        <w:tc>
          <w:tcPr>
            <w:tcW w:w="1185" w:type="dxa"/>
            <w:vAlign w:val="center"/>
          </w:tcPr>
          <w:p w14:paraId="4BCA8642">
            <w:pPr>
              <w:spacing w:line="360" w:lineRule="auto"/>
              <w:jc w:val="center"/>
              <w:rPr>
                <w:rFonts w:ascii="宋体" w:hAnsi="宋体" w:cs="宋体"/>
                <w:kern w:val="0"/>
                <w:sz w:val="24"/>
              </w:rPr>
            </w:pPr>
            <w:r>
              <w:rPr>
                <w:rFonts w:hint="eastAsia" w:ascii="宋体" w:hAnsi="宋体" w:cs="宋体"/>
                <w:sz w:val="24"/>
              </w:rPr>
              <w:t>0%</w:t>
            </w:r>
          </w:p>
        </w:tc>
        <w:tc>
          <w:tcPr>
            <w:tcW w:w="3248" w:type="dxa"/>
          </w:tcPr>
          <w:p w14:paraId="18D5AAFB">
            <w:pPr>
              <w:spacing w:line="360" w:lineRule="auto"/>
              <w:rPr>
                <w:rFonts w:ascii="宋体" w:hAnsi="宋体" w:cs="宋体"/>
                <w:kern w:val="0"/>
                <w:sz w:val="22"/>
              </w:rPr>
            </w:pPr>
          </w:p>
        </w:tc>
      </w:tr>
      <w:tr w14:paraId="594F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5EEB1BE9">
            <w:pPr>
              <w:spacing w:line="360" w:lineRule="auto"/>
              <w:jc w:val="center"/>
              <w:rPr>
                <w:rFonts w:ascii="宋体" w:hAnsi="宋体" w:cs="宋体"/>
                <w:kern w:val="0"/>
                <w:sz w:val="24"/>
              </w:rPr>
            </w:pPr>
          </w:p>
        </w:tc>
        <w:tc>
          <w:tcPr>
            <w:tcW w:w="1680" w:type="dxa"/>
            <w:vMerge w:val="continue"/>
            <w:vAlign w:val="center"/>
          </w:tcPr>
          <w:p w14:paraId="0F25E384">
            <w:pPr>
              <w:spacing w:line="360" w:lineRule="auto"/>
              <w:jc w:val="center"/>
              <w:rPr>
                <w:rFonts w:ascii="宋体" w:hAnsi="宋体" w:cs="宋体"/>
                <w:kern w:val="0"/>
                <w:sz w:val="24"/>
              </w:rPr>
            </w:pPr>
          </w:p>
        </w:tc>
        <w:tc>
          <w:tcPr>
            <w:tcW w:w="2025" w:type="dxa"/>
            <w:vAlign w:val="center"/>
          </w:tcPr>
          <w:p w14:paraId="12D52F4C">
            <w:pPr>
              <w:spacing w:line="360" w:lineRule="auto"/>
              <w:jc w:val="center"/>
              <w:rPr>
                <w:rFonts w:ascii="宋体" w:hAnsi="宋体" w:cs="宋体"/>
                <w:kern w:val="0"/>
                <w:sz w:val="24"/>
              </w:rPr>
            </w:pPr>
            <w:r>
              <w:rPr>
                <w:rFonts w:hint="eastAsia" w:ascii="宋体" w:hAnsi="宋体" w:cs="宋体"/>
                <w:sz w:val="24"/>
              </w:rPr>
              <w:t>组织对2023年度新增认定的市级以上首台（套）重大技术装备实施奖励</w:t>
            </w:r>
          </w:p>
        </w:tc>
        <w:tc>
          <w:tcPr>
            <w:tcW w:w="1500" w:type="dxa"/>
            <w:vAlign w:val="center"/>
          </w:tcPr>
          <w:p w14:paraId="4D744AED">
            <w:pPr>
              <w:spacing w:line="360" w:lineRule="auto"/>
              <w:jc w:val="center"/>
              <w:rPr>
                <w:rFonts w:ascii="宋体" w:hAnsi="宋体" w:cs="宋体"/>
                <w:kern w:val="0"/>
                <w:sz w:val="24"/>
              </w:rPr>
            </w:pPr>
            <w:r>
              <w:rPr>
                <w:rFonts w:hint="eastAsia" w:ascii="宋体" w:hAnsi="宋体" w:cs="宋体"/>
                <w:sz w:val="24"/>
              </w:rPr>
              <w:t>=1批次</w:t>
            </w:r>
          </w:p>
        </w:tc>
        <w:tc>
          <w:tcPr>
            <w:tcW w:w="1470" w:type="dxa"/>
            <w:vAlign w:val="center"/>
          </w:tcPr>
          <w:p w14:paraId="4AE1F528">
            <w:pPr>
              <w:spacing w:line="360" w:lineRule="auto"/>
              <w:jc w:val="center"/>
              <w:rPr>
                <w:rFonts w:ascii="宋体" w:hAnsi="宋体" w:cs="宋体"/>
                <w:kern w:val="0"/>
                <w:sz w:val="24"/>
              </w:rPr>
            </w:pPr>
            <w:r>
              <w:rPr>
                <w:rFonts w:hint="eastAsia" w:ascii="宋体" w:hAnsi="宋体" w:cs="宋体"/>
                <w:sz w:val="24"/>
              </w:rPr>
              <w:t>0批次</w:t>
            </w:r>
          </w:p>
        </w:tc>
        <w:tc>
          <w:tcPr>
            <w:tcW w:w="1815" w:type="dxa"/>
            <w:vAlign w:val="center"/>
          </w:tcPr>
          <w:p w14:paraId="16E02432">
            <w:pPr>
              <w:spacing w:line="360" w:lineRule="auto"/>
              <w:jc w:val="center"/>
              <w:rPr>
                <w:rFonts w:ascii="宋体" w:hAnsi="宋体" w:cs="宋体"/>
                <w:kern w:val="0"/>
                <w:sz w:val="24"/>
              </w:rPr>
            </w:pPr>
          </w:p>
        </w:tc>
        <w:tc>
          <w:tcPr>
            <w:tcW w:w="1185" w:type="dxa"/>
            <w:vAlign w:val="center"/>
          </w:tcPr>
          <w:p w14:paraId="6D0B0666">
            <w:pPr>
              <w:spacing w:line="360" w:lineRule="auto"/>
              <w:jc w:val="center"/>
              <w:rPr>
                <w:rFonts w:ascii="宋体" w:hAnsi="宋体" w:cs="宋体"/>
                <w:kern w:val="0"/>
                <w:sz w:val="24"/>
              </w:rPr>
            </w:pPr>
            <w:r>
              <w:rPr>
                <w:rFonts w:hint="eastAsia" w:ascii="宋体" w:hAnsi="宋体" w:cs="宋体"/>
                <w:sz w:val="24"/>
              </w:rPr>
              <w:t>-100.00%</w:t>
            </w:r>
          </w:p>
        </w:tc>
        <w:tc>
          <w:tcPr>
            <w:tcW w:w="3248" w:type="dxa"/>
          </w:tcPr>
          <w:p w14:paraId="652DE38E">
            <w:pPr>
              <w:spacing w:line="360" w:lineRule="auto"/>
              <w:rPr>
                <w:rFonts w:ascii="宋体" w:hAnsi="宋体" w:cs="宋体"/>
                <w:kern w:val="0"/>
                <w:sz w:val="22"/>
              </w:rPr>
            </w:pPr>
            <w:r>
              <w:rPr>
                <w:rFonts w:hint="eastAsia" w:ascii="宋体" w:hAnsi="宋体" w:cs="宋体"/>
                <w:sz w:val="24"/>
              </w:rPr>
              <w:t>2024年度市级打造先进制造业基地专项资金整体申报延后，根据局里统一安排，延后至2025年3月开始统一资金申报。</w:t>
            </w:r>
          </w:p>
        </w:tc>
      </w:tr>
      <w:tr w14:paraId="6E0AF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5248A233">
            <w:pPr>
              <w:spacing w:line="360" w:lineRule="auto"/>
              <w:jc w:val="center"/>
              <w:rPr>
                <w:rFonts w:ascii="宋体" w:hAnsi="宋体" w:cs="宋体"/>
                <w:kern w:val="0"/>
                <w:sz w:val="24"/>
              </w:rPr>
            </w:pPr>
          </w:p>
        </w:tc>
        <w:tc>
          <w:tcPr>
            <w:tcW w:w="1680" w:type="dxa"/>
            <w:vMerge w:val="continue"/>
            <w:vAlign w:val="center"/>
          </w:tcPr>
          <w:p w14:paraId="3DD3BF62">
            <w:pPr>
              <w:spacing w:line="360" w:lineRule="auto"/>
              <w:jc w:val="center"/>
              <w:rPr>
                <w:rFonts w:ascii="宋体" w:hAnsi="宋体" w:cs="宋体"/>
                <w:kern w:val="0"/>
                <w:sz w:val="24"/>
              </w:rPr>
            </w:pPr>
          </w:p>
        </w:tc>
        <w:tc>
          <w:tcPr>
            <w:tcW w:w="2025" w:type="dxa"/>
            <w:vAlign w:val="center"/>
          </w:tcPr>
          <w:p w14:paraId="588CEFFA">
            <w:pPr>
              <w:spacing w:line="360" w:lineRule="auto"/>
              <w:jc w:val="center"/>
              <w:rPr>
                <w:rFonts w:ascii="宋体" w:hAnsi="宋体" w:cs="宋体"/>
                <w:kern w:val="0"/>
                <w:sz w:val="24"/>
              </w:rPr>
            </w:pPr>
            <w:r>
              <w:rPr>
                <w:rFonts w:hint="eastAsia" w:ascii="宋体" w:hAnsi="宋体" w:cs="宋体"/>
                <w:sz w:val="24"/>
              </w:rPr>
              <w:t>培育潜力地标企业数量</w:t>
            </w:r>
          </w:p>
        </w:tc>
        <w:tc>
          <w:tcPr>
            <w:tcW w:w="1500" w:type="dxa"/>
            <w:vAlign w:val="center"/>
          </w:tcPr>
          <w:p w14:paraId="4BC2AE2D">
            <w:pPr>
              <w:spacing w:line="360" w:lineRule="auto"/>
              <w:jc w:val="center"/>
              <w:rPr>
                <w:rFonts w:ascii="宋体" w:hAnsi="宋体" w:cs="宋体"/>
                <w:kern w:val="0"/>
                <w:sz w:val="24"/>
              </w:rPr>
            </w:pPr>
            <w:r>
              <w:rPr>
                <w:rFonts w:hint="eastAsia" w:ascii="宋体" w:hAnsi="宋体" w:cs="宋体"/>
                <w:sz w:val="24"/>
              </w:rPr>
              <w:t>&gt;=17家</w:t>
            </w:r>
          </w:p>
        </w:tc>
        <w:tc>
          <w:tcPr>
            <w:tcW w:w="1470" w:type="dxa"/>
            <w:vAlign w:val="center"/>
          </w:tcPr>
          <w:p w14:paraId="27BECBF6">
            <w:pPr>
              <w:spacing w:line="360" w:lineRule="auto"/>
              <w:jc w:val="center"/>
              <w:rPr>
                <w:rFonts w:ascii="宋体" w:hAnsi="宋体" w:cs="宋体"/>
                <w:kern w:val="0"/>
                <w:sz w:val="24"/>
              </w:rPr>
            </w:pPr>
            <w:r>
              <w:rPr>
                <w:rFonts w:hint="eastAsia" w:ascii="宋体" w:hAnsi="宋体" w:cs="宋体"/>
                <w:sz w:val="24"/>
              </w:rPr>
              <w:t>0家</w:t>
            </w:r>
          </w:p>
        </w:tc>
        <w:tc>
          <w:tcPr>
            <w:tcW w:w="1815" w:type="dxa"/>
            <w:vAlign w:val="center"/>
          </w:tcPr>
          <w:p w14:paraId="4FD51A49">
            <w:pPr>
              <w:spacing w:line="360" w:lineRule="auto"/>
              <w:jc w:val="center"/>
              <w:rPr>
                <w:rFonts w:ascii="宋体" w:hAnsi="宋体" w:cs="宋体"/>
                <w:kern w:val="0"/>
                <w:sz w:val="24"/>
              </w:rPr>
            </w:pPr>
          </w:p>
        </w:tc>
        <w:tc>
          <w:tcPr>
            <w:tcW w:w="1185" w:type="dxa"/>
            <w:vAlign w:val="center"/>
          </w:tcPr>
          <w:p w14:paraId="2D7CE0C0">
            <w:pPr>
              <w:spacing w:line="360" w:lineRule="auto"/>
              <w:jc w:val="center"/>
              <w:rPr>
                <w:rFonts w:ascii="宋体" w:hAnsi="宋体" w:cs="宋体"/>
                <w:kern w:val="0"/>
                <w:sz w:val="24"/>
              </w:rPr>
            </w:pPr>
            <w:r>
              <w:rPr>
                <w:rFonts w:hint="eastAsia" w:ascii="宋体" w:hAnsi="宋体" w:cs="宋体"/>
                <w:sz w:val="24"/>
              </w:rPr>
              <w:t>-100.00%</w:t>
            </w:r>
          </w:p>
        </w:tc>
        <w:tc>
          <w:tcPr>
            <w:tcW w:w="3248" w:type="dxa"/>
          </w:tcPr>
          <w:p w14:paraId="09F8E515">
            <w:pPr>
              <w:spacing w:line="360" w:lineRule="auto"/>
              <w:rPr>
                <w:rFonts w:ascii="宋体" w:hAnsi="宋体" w:cs="宋体"/>
                <w:kern w:val="0"/>
                <w:sz w:val="22"/>
              </w:rPr>
            </w:pPr>
            <w:r>
              <w:rPr>
                <w:rFonts w:hint="eastAsia" w:ascii="宋体" w:hAnsi="宋体" w:cs="宋体"/>
                <w:sz w:val="24"/>
              </w:rPr>
              <w:t>根据相关政策调整，目前主要围绕“构建“1123”企业培育体系，定向强化资源配置，加快培育10家以上头部企业成长为具有全球竞争力的龙头企业，100家以上地标企业成长为细分领域领军企业”目标，相关数据正在微调。</w:t>
            </w:r>
          </w:p>
        </w:tc>
      </w:tr>
      <w:tr w14:paraId="67FA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3BA23F68">
            <w:pPr>
              <w:spacing w:line="360" w:lineRule="auto"/>
              <w:jc w:val="center"/>
              <w:rPr>
                <w:rFonts w:ascii="宋体" w:hAnsi="宋体" w:cs="宋体"/>
                <w:kern w:val="0"/>
                <w:sz w:val="24"/>
              </w:rPr>
            </w:pPr>
          </w:p>
        </w:tc>
        <w:tc>
          <w:tcPr>
            <w:tcW w:w="1680" w:type="dxa"/>
            <w:vMerge w:val="continue"/>
            <w:vAlign w:val="center"/>
          </w:tcPr>
          <w:p w14:paraId="4DB65041">
            <w:pPr>
              <w:spacing w:line="360" w:lineRule="auto"/>
              <w:jc w:val="center"/>
              <w:rPr>
                <w:rFonts w:ascii="宋体" w:hAnsi="宋体" w:cs="宋体"/>
                <w:kern w:val="0"/>
                <w:sz w:val="24"/>
              </w:rPr>
            </w:pPr>
          </w:p>
        </w:tc>
        <w:tc>
          <w:tcPr>
            <w:tcW w:w="2025" w:type="dxa"/>
            <w:vAlign w:val="center"/>
          </w:tcPr>
          <w:p w14:paraId="6F0ED8C0">
            <w:pPr>
              <w:spacing w:line="360" w:lineRule="auto"/>
              <w:jc w:val="center"/>
              <w:rPr>
                <w:rFonts w:ascii="宋体" w:hAnsi="宋体" w:cs="宋体"/>
                <w:kern w:val="0"/>
                <w:sz w:val="24"/>
              </w:rPr>
            </w:pPr>
            <w:r>
              <w:rPr>
                <w:rFonts w:hint="eastAsia" w:ascii="宋体" w:hAnsi="宋体" w:cs="宋体"/>
                <w:sz w:val="24"/>
              </w:rPr>
              <w:t>奖励制造业创新中心、国家企业技术中心、国家服务型制造示范数量</w:t>
            </w:r>
          </w:p>
        </w:tc>
        <w:tc>
          <w:tcPr>
            <w:tcW w:w="1500" w:type="dxa"/>
            <w:vAlign w:val="center"/>
          </w:tcPr>
          <w:p w14:paraId="64E9EA75">
            <w:pPr>
              <w:spacing w:line="360" w:lineRule="auto"/>
              <w:jc w:val="center"/>
              <w:rPr>
                <w:rFonts w:ascii="宋体" w:hAnsi="宋体" w:cs="宋体"/>
                <w:kern w:val="0"/>
                <w:sz w:val="24"/>
              </w:rPr>
            </w:pPr>
            <w:r>
              <w:rPr>
                <w:rFonts w:hint="eastAsia" w:ascii="宋体" w:hAnsi="宋体" w:cs="宋体"/>
                <w:sz w:val="24"/>
              </w:rPr>
              <w:t>=10个</w:t>
            </w:r>
          </w:p>
        </w:tc>
        <w:tc>
          <w:tcPr>
            <w:tcW w:w="1470" w:type="dxa"/>
            <w:vAlign w:val="center"/>
          </w:tcPr>
          <w:p w14:paraId="5338E35A">
            <w:pPr>
              <w:spacing w:line="360" w:lineRule="auto"/>
              <w:jc w:val="center"/>
              <w:rPr>
                <w:rFonts w:ascii="宋体" w:hAnsi="宋体" w:cs="宋体"/>
                <w:kern w:val="0"/>
                <w:sz w:val="24"/>
              </w:rPr>
            </w:pPr>
            <w:r>
              <w:rPr>
                <w:rFonts w:hint="eastAsia" w:ascii="宋体" w:hAnsi="宋体" w:cs="宋体"/>
                <w:sz w:val="24"/>
              </w:rPr>
              <w:t>10个</w:t>
            </w:r>
          </w:p>
        </w:tc>
        <w:tc>
          <w:tcPr>
            <w:tcW w:w="1815" w:type="dxa"/>
            <w:vAlign w:val="center"/>
          </w:tcPr>
          <w:p w14:paraId="5C219023">
            <w:pPr>
              <w:spacing w:line="360" w:lineRule="auto"/>
              <w:jc w:val="center"/>
              <w:rPr>
                <w:rFonts w:ascii="宋体" w:hAnsi="宋体" w:cs="宋体"/>
                <w:kern w:val="0"/>
                <w:sz w:val="24"/>
              </w:rPr>
            </w:pPr>
            <w:r>
              <w:rPr>
                <w:rFonts w:hint="eastAsia" w:ascii="宋体" w:hAnsi="宋体" w:cs="宋体"/>
                <w:sz w:val="24"/>
              </w:rPr>
              <w:t>资金下达文件</w:t>
            </w:r>
          </w:p>
        </w:tc>
        <w:tc>
          <w:tcPr>
            <w:tcW w:w="1185" w:type="dxa"/>
            <w:vAlign w:val="center"/>
          </w:tcPr>
          <w:p w14:paraId="274A42B9">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63EFCA24">
            <w:pPr>
              <w:spacing w:line="360" w:lineRule="auto"/>
              <w:rPr>
                <w:rFonts w:ascii="宋体" w:hAnsi="宋体" w:cs="宋体"/>
                <w:kern w:val="0"/>
                <w:sz w:val="22"/>
              </w:rPr>
            </w:pPr>
          </w:p>
        </w:tc>
      </w:tr>
      <w:tr w14:paraId="6E14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2530E9CA">
            <w:pPr>
              <w:spacing w:line="360" w:lineRule="auto"/>
              <w:jc w:val="center"/>
              <w:rPr>
                <w:rFonts w:ascii="宋体" w:hAnsi="宋体" w:cs="宋体"/>
                <w:kern w:val="0"/>
                <w:sz w:val="24"/>
              </w:rPr>
            </w:pPr>
          </w:p>
        </w:tc>
        <w:tc>
          <w:tcPr>
            <w:tcW w:w="1680" w:type="dxa"/>
            <w:vMerge w:val="continue"/>
            <w:vAlign w:val="center"/>
          </w:tcPr>
          <w:p w14:paraId="7D53A0B7">
            <w:pPr>
              <w:spacing w:line="360" w:lineRule="auto"/>
              <w:jc w:val="center"/>
              <w:rPr>
                <w:rFonts w:ascii="宋体" w:hAnsi="宋体" w:cs="宋体"/>
                <w:kern w:val="0"/>
                <w:sz w:val="24"/>
              </w:rPr>
            </w:pPr>
          </w:p>
        </w:tc>
        <w:tc>
          <w:tcPr>
            <w:tcW w:w="2025" w:type="dxa"/>
            <w:vAlign w:val="center"/>
          </w:tcPr>
          <w:p w14:paraId="333D5771">
            <w:pPr>
              <w:spacing w:line="360" w:lineRule="auto"/>
              <w:jc w:val="center"/>
              <w:rPr>
                <w:rFonts w:ascii="宋体" w:hAnsi="宋体" w:cs="宋体"/>
                <w:kern w:val="0"/>
                <w:sz w:val="24"/>
              </w:rPr>
            </w:pPr>
            <w:r>
              <w:rPr>
                <w:rFonts w:hint="eastAsia" w:ascii="宋体" w:hAnsi="宋体" w:cs="宋体"/>
                <w:sz w:val="24"/>
              </w:rPr>
              <w:t>检查出企业安全隐患数量</w:t>
            </w:r>
          </w:p>
        </w:tc>
        <w:tc>
          <w:tcPr>
            <w:tcW w:w="1500" w:type="dxa"/>
            <w:vAlign w:val="center"/>
          </w:tcPr>
          <w:p w14:paraId="625E5F2F">
            <w:pPr>
              <w:spacing w:line="360" w:lineRule="auto"/>
              <w:jc w:val="center"/>
              <w:rPr>
                <w:rFonts w:hint="eastAsia" w:ascii="宋体" w:hAnsi="宋体" w:eastAsia="宋体" w:cs="宋体"/>
                <w:kern w:val="0"/>
                <w:sz w:val="24"/>
                <w:lang w:eastAsia="zh-CN"/>
              </w:rPr>
            </w:pPr>
            <w:r>
              <w:rPr>
                <w:rFonts w:hint="eastAsia" w:ascii="宋体" w:hAnsi="宋体" w:cs="宋体"/>
                <w:sz w:val="24"/>
              </w:rPr>
              <w:t>&gt;=100</w:t>
            </w:r>
            <w:r>
              <w:rPr>
                <w:rFonts w:hint="eastAsia" w:ascii="宋体" w:hAnsi="宋体" w:cs="宋体"/>
                <w:sz w:val="24"/>
                <w:lang w:eastAsia="zh-CN"/>
              </w:rPr>
              <w:t>项</w:t>
            </w:r>
          </w:p>
        </w:tc>
        <w:tc>
          <w:tcPr>
            <w:tcW w:w="1470" w:type="dxa"/>
            <w:vAlign w:val="center"/>
          </w:tcPr>
          <w:p w14:paraId="6D37687B">
            <w:pPr>
              <w:spacing w:line="360" w:lineRule="auto"/>
              <w:jc w:val="center"/>
              <w:rPr>
                <w:rFonts w:hint="eastAsia" w:ascii="宋体" w:hAnsi="宋体" w:eastAsia="宋体" w:cs="宋体"/>
                <w:kern w:val="0"/>
                <w:sz w:val="24"/>
                <w:lang w:eastAsia="zh-CN"/>
              </w:rPr>
            </w:pPr>
            <w:r>
              <w:rPr>
                <w:rFonts w:hint="eastAsia" w:ascii="宋体" w:hAnsi="宋体" w:cs="宋体"/>
                <w:sz w:val="24"/>
              </w:rPr>
              <w:t>104</w:t>
            </w:r>
            <w:r>
              <w:rPr>
                <w:rFonts w:hint="eastAsia" w:ascii="宋体" w:hAnsi="宋体" w:cs="宋体"/>
                <w:sz w:val="24"/>
                <w:lang w:eastAsia="zh-CN"/>
              </w:rPr>
              <w:t>项</w:t>
            </w:r>
          </w:p>
        </w:tc>
        <w:tc>
          <w:tcPr>
            <w:tcW w:w="1815" w:type="dxa"/>
            <w:vAlign w:val="center"/>
          </w:tcPr>
          <w:p w14:paraId="6CE263F3">
            <w:pPr>
              <w:spacing w:line="360" w:lineRule="auto"/>
              <w:jc w:val="center"/>
              <w:rPr>
                <w:rFonts w:ascii="宋体" w:hAnsi="宋体" w:cs="宋体"/>
                <w:kern w:val="0"/>
                <w:sz w:val="24"/>
              </w:rPr>
            </w:pPr>
            <w:r>
              <w:rPr>
                <w:rFonts w:hint="eastAsia" w:ascii="宋体" w:hAnsi="宋体" w:cs="宋体"/>
                <w:sz w:val="24"/>
              </w:rPr>
              <w:t>修造船企业安全检查报告</w:t>
            </w:r>
          </w:p>
        </w:tc>
        <w:tc>
          <w:tcPr>
            <w:tcW w:w="1185" w:type="dxa"/>
            <w:vAlign w:val="center"/>
          </w:tcPr>
          <w:p w14:paraId="0BFFCE8D">
            <w:pPr>
              <w:spacing w:line="360" w:lineRule="auto"/>
              <w:jc w:val="center"/>
              <w:rPr>
                <w:rFonts w:ascii="宋体" w:hAnsi="宋体" w:cs="宋体"/>
                <w:kern w:val="0"/>
                <w:sz w:val="24"/>
              </w:rPr>
            </w:pPr>
            <w:r>
              <w:rPr>
                <w:rFonts w:hint="eastAsia" w:ascii="宋体" w:hAnsi="宋体" w:cs="宋体"/>
                <w:sz w:val="24"/>
              </w:rPr>
              <w:t>4.00%</w:t>
            </w:r>
          </w:p>
        </w:tc>
        <w:tc>
          <w:tcPr>
            <w:tcW w:w="3248" w:type="dxa"/>
          </w:tcPr>
          <w:p w14:paraId="42133B01">
            <w:pPr>
              <w:spacing w:line="360" w:lineRule="auto"/>
              <w:rPr>
                <w:rFonts w:ascii="宋体" w:hAnsi="宋体" w:cs="宋体"/>
                <w:kern w:val="0"/>
                <w:sz w:val="22"/>
              </w:rPr>
            </w:pPr>
          </w:p>
        </w:tc>
      </w:tr>
      <w:tr w14:paraId="502F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4F7A00B5">
            <w:pPr>
              <w:spacing w:line="360" w:lineRule="auto"/>
              <w:jc w:val="center"/>
              <w:rPr>
                <w:rFonts w:ascii="宋体" w:hAnsi="宋体" w:cs="宋体"/>
                <w:kern w:val="0"/>
                <w:sz w:val="24"/>
              </w:rPr>
            </w:pPr>
          </w:p>
        </w:tc>
        <w:tc>
          <w:tcPr>
            <w:tcW w:w="1680" w:type="dxa"/>
            <w:vMerge w:val="continue"/>
            <w:vAlign w:val="center"/>
          </w:tcPr>
          <w:p w14:paraId="06BA182F">
            <w:pPr>
              <w:spacing w:line="360" w:lineRule="auto"/>
              <w:jc w:val="center"/>
              <w:rPr>
                <w:rFonts w:ascii="宋体" w:hAnsi="宋体" w:cs="宋体"/>
                <w:kern w:val="0"/>
                <w:sz w:val="24"/>
              </w:rPr>
            </w:pPr>
          </w:p>
        </w:tc>
        <w:tc>
          <w:tcPr>
            <w:tcW w:w="2025" w:type="dxa"/>
            <w:vAlign w:val="center"/>
          </w:tcPr>
          <w:p w14:paraId="61F5E8D4">
            <w:pPr>
              <w:spacing w:line="360" w:lineRule="auto"/>
              <w:jc w:val="center"/>
              <w:rPr>
                <w:rFonts w:ascii="宋体" w:hAnsi="宋体" w:cs="宋体"/>
                <w:kern w:val="0"/>
                <w:sz w:val="24"/>
              </w:rPr>
            </w:pPr>
            <w:r>
              <w:rPr>
                <w:rFonts w:hint="eastAsia" w:ascii="宋体" w:hAnsi="宋体" w:cs="宋体"/>
                <w:sz w:val="24"/>
              </w:rPr>
              <w:t>在苏州日报刊发专题宣传信息数</w:t>
            </w:r>
          </w:p>
        </w:tc>
        <w:tc>
          <w:tcPr>
            <w:tcW w:w="1500" w:type="dxa"/>
            <w:vAlign w:val="center"/>
          </w:tcPr>
          <w:p w14:paraId="4263CE49">
            <w:pPr>
              <w:spacing w:line="360" w:lineRule="auto"/>
              <w:jc w:val="center"/>
              <w:rPr>
                <w:rFonts w:ascii="宋体" w:hAnsi="宋体" w:cs="宋体"/>
                <w:kern w:val="0"/>
                <w:sz w:val="24"/>
              </w:rPr>
            </w:pPr>
            <w:r>
              <w:rPr>
                <w:rFonts w:hint="eastAsia" w:ascii="宋体" w:hAnsi="宋体" w:cs="宋体"/>
                <w:sz w:val="24"/>
              </w:rPr>
              <w:t>=20条</w:t>
            </w:r>
          </w:p>
        </w:tc>
        <w:tc>
          <w:tcPr>
            <w:tcW w:w="1470" w:type="dxa"/>
            <w:vAlign w:val="center"/>
          </w:tcPr>
          <w:p w14:paraId="0C691E29">
            <w:pPr>
              <w:spacing w:line="360" w:lineRule="auto"/>
              <w:jc w:val="center"/>
              <w:rPr>
                <w:rFonts w:ascii="宋体" w:hAnsi="宋体" w:cs="宋体"/>
                <w:kern w:val="0"/>
                <w:sz w:val="24"/>
              </w:rPr>
            </w:pPr>
            <w:r>
              <w:rPr>
                <w:rFonts w:hint="eastAsia" w:ascii="宋体" w:hAnsi="宋体" w:cs="宋体"/>
                <w:sz w:val="24"/>
              </w:rPr>
              <w:t>25条</w:t>
            </w:r>
          </w:p>
        </w:tc>
        <w:tc>
          <w:tcPr>
            <w:tcW w:w="1815" w:type="dxa"/>
            <w:vAlign w:val="center"/>
          </w:tcPr>
          <w:p w14:paraId="556980E9">
            <w:pPr>
              <w:spacing w:line="360" w:lineRule="auto"/>
              <w:jc w:val="center"/>
              <w:rPr>
                <w:rFonts w:ascii="宋体" w:hAnsi="宋体" w:cs="宋体"/>
                <w:kern w:val="0"/>
                <w:sz w:val="24"/>
              </w:rPr>
            </w:pPr>
            <w:r>
              <w:rPr>
                <w:rFonts w:hint="eastAsia" w:ascii="宋体" w:hAnsi="宋体" w:cs="宋体"/>
                <w:sz w:val="24"/>
              </w:rPr>
              <w:t>验收报告</w:t>
            </w:r>
          </w:p>
        </w:tc>
        <w:tc>
          <w:tcPr>
            <w:tcW w:w="1185" w:type="dxa"/>
            <w:vAlign w:val="center"/>
          </w:tcPr>
          <w:p w14:paraId="4D74FFDD">
            <w:pPr>
              <w:spacing w:line="360" w:lineRule="auto"/>
              <w:jc w:val="center"/>
              <w:rPr>
                <w:rFonts w:ascii="宋体" w:hAnsi="宋体" w:cs="宋体"/>
                <w:kern w:val="0"/>
                <w:sz w:val="24"/>
              </w:rPr>
            </w:pPr>
            <w:r>
              <w:rPr>
                <w:rFonts w:hint="eastAsia" w:ascii="宋体" w:hAnsi="宋体" w:cs="宋体"/>
                <w:sz w:val="24"/>
              </w:rPr>
              <w:t>25.00%</w:t>
            </w:r>
          </w:p>
        </w:tc>
        <w:tc>
          <w:tcPr>
            <w:tcW w:w="3248" w:type="dxa"/>
          </w:tcPr>
          <w:p w14:paraId="23D49977">
            <w:pPr>
              <w:spacing w:line="360" w:lineRule="auto"/>
              <w:rPr>
                <w:rFonts w:ascii="宋体" w:hAnsi="宋体" w:cs="宋体"/>
                <w:kern w:val="0"/>
                <w:sz w:val="22"/>
              </w:rPr>
            </w:pPr>
          </w:p>
        </w:tc>
      </w:tr>
      <w:tr w14:paraId="75A1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2C8C1E51">
            <w:pPr>
              <w:spacing w:line="360" w:lineRule="auto"/>
              <w:jc w:val="center"/>
              <w:rPr>
                <w:rFonts w:ascii="宋体" w:hAnsi="宋体" w:cs="宋体"/>
                <w:kern w:val="0"/>
                <w:sz w:val="24"/>
              </w:rPr>
            </w:pPr>
          </w:p>
        </w:tc>
        <w:tc>
          <w:tcPr>
            <w:tcW w:w="1680" w:type="dxa"/>
            <w:vMerge w:val="continue"/>
            <w:vAlign w:val="center"/>
          </w:tcPr>
          <w:p w14:paraId="542C791F">
            <w:pPr>
              <w:spacing w:line="360" w:lineRule="auto"/>
              <w:jc w:val="center"/>
              <w:rPr>
                <w:rFonts w:ascii="宋体" w:hAnsi="宋体" w:cs="宋体"/>
                <w:kern w:val="0"/>
                <w:sz w:val="24"/>
              </w:rPr>
            </w:pPr>
          </w:p>
        </w:tc>
        <w:tc>
          <w:tcPr>
            <w:tcW w:w="2025" w:type="dxa"/>
            <w:vAlign w:val="center"/>
          </w:tcPr>
          <w:p w14:paraId="0FE1B2AB">
            <w:pPr>
              <w:spacing w:line="360" w:lineRule="auto"/>
              <w:jc w:val="center"/>
              <w:rPr>
                <w:rFonts w:ascii="宋体" w:hAnsi="宋体" w:cs="宋体"/>
                <w:kern w:val="0"/>
                <w:sz w:val="24"/>
              </w:rPr>
            </w:pPr>
            <w:r>
              <w:rPr>
                <w:rFonts w:hint="eastAsia" w:ascii="宋体" w:hAnsi="宋体" w:cs="宋体"/>
                <w:sz w:val="24"/>
              </w:rPr>
              <w:t>评选智能制造优秀服务商和技术服务输出标杆企业数量</w:t>
            </w:r>
          </w:p>
        </w:tc>
        <w:tc>
          <w:tcPr>
            <w:tcW w:w="1500" w:type="dxa"/>
            <w:vAlign w:val="center"/>
          </w:tcPr>
          <w:p w14:paraId="43CAC83D">
            <w:pPr>
              <w:spacing w:line="360" w:lineRule="auto"/>
              <w:jc w:val="center"/>
              <w:rPr>
                <w:rFonts w:ascii="宋体" w:hAnsi="宋体" w:cs="宋体"/>
                <w:kern w:val="0"/>
                <w:sz w:val="24"/>
              </w:rPr>
            </w:pPr>
            <w:r>
              <w:rPr>
                <w:rFonts w:hint="eastAsia" w:ascii="宋体" w:hAnsi="宋体" w:cs="宋体"/>
                <w:sz w:val="24"/>
              </w:rPr>
              <w:t>=20个</w:t>
            </w:r>
          </w:p>
        </w:tc>
        <w:tc>
          <w:tcPr>
            <w:tcW w:w="1470" w:type="dxa"/>
            <w:vAlign w:val="center"/>
          </w:tcPr>
          <w:p w14:paraId="4F5B9B37">
            <w:pPr>
              <w:spacing w:line="360" w:lineRule="auto"/>
              <w:jc w:val="center"/>
              <w:rPr>
                <w:rFonts w:ascii="宋体" w:hAnsi="宋体" w:cs="宋体"/>
                <w:kern w:val="0"/>
                <w:sz w:val="24"/>
              </w:rPr>
            </w:pPr>
            <w:r>
              <w:rPr>
                <w:rFonts w:hint="eastAsia" w:ascii="宋体" w:hAnsi="宋体" w:cs="宋体"/>
                <w:sz w:val="24"/>
              </w:rPr>
              <w:t>28个</w:t>
            </w:r>
          </w:p>
        </w:tc>
        <w:tc>
          <w:tcPr>
            <w:tcW w:w="1815" w:type="dxa"/>
            <w:vAlign w:val="center"/>
          </w:tcPr>
          <w:p w14:paraId="135EF909">
            <w:pPr>
              <w:spacing w:line="360" w:lineRule="auto"/>
              <w:jc w:val="center"/>
              <w:rPr>
                <w:rFonts w:ascii="宋体" w:hAnsi="宋体" w:cs="宋体"/>
                <w:kern w:val="0"/>
                <w:sz w:val="24"/>
              </w:rPr>
            </w:pPr>
            <w:r>
              <w:rPr>
                <w:rFonts w:hint="eastAsia" w:ascii="宋体" w:hAnsi="宋体" w:cs="宋体"/>
                <w:sz w:val="24"/>
              </w:rPr>
              <w:t>优秀服务商名单发文</w:t>
            </w:r>
          </w:p>
        </w:tc>
        <w:tc>
          <w:tcPr>
            <w:tcW w:w="1185" w:type="dxa"/>
            <w:vAlign w:val="center"/>
          </w:tcPr>
          <w:p w14:paraId="3690EC45">
            <w:pPr>
              <w:spacing w:line="360" w:lineRule="auto"/>
              <w:jc w:val="center"/>
              <w:rPr>
                <w:rFonts w:ascii="宋体" w:hAnsi="宋体" w:cs="宋体"/>
                <w:kern w:val="0"/>
                <w:sz w:val="24"/>
              </w:rPr>
            </w:pPr>
            <w:r>
              <w:rPr>
                <w:rFonts w:hint="eastAsia" w:ascii="宋体" w:hAnsi="宋体" w:cs="宋体"/>
                <w:sz w:val="24"/>
              </w:rPr>
              <w:t>40.00%</w:t>
            </w:r>
          </w:p>
        </w:tc>
        <w:tc>
          <w:tcPr>
            <w:tcW w:w="3248" w:type="dxa"/>
          </w:tcPr>
          <w:p w14:paraId="29255451">
            <w:pPr>
              <w:spacing w:line="360" w:lineRule="auto"/>
              <w:rPr>
                <w:rFonts w:ascii="宋体" w:hAnsi="宋体" w:cs="宋体"/>
                <w:kern w:val="0"/>
                <w:sz w:val="22"/>
              </w:rPr>
            </w:pPr>
            <w:r>
              <w:rPr>
                <w:rFonts w:hint="eastAsia" w:ascii="宋体" w:hAnsi="宋体" w:cs="宋体"/>
                <w:sz w:val="24"/>
              </w:rPr>
              <w:t>持续加大智能化改造数字化转型服务机构培育力度，经企业申报、各地推荐、专家评审和公示等环节，申报企业符合条件数增加。</w:t>
            </w:r>
          </w:p>
        </w:tc>
      </w:tr>
      <w:tr w14:paraId="750B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7F450A9E">
            <w:pPr>
              <w:spacing w:line="360" w:lineRule="auto"/>
              <w:jc w:val="center"/>
              <w:rPr>
                <w:rFonts w:ascii="宋体" w:hAnsi="宋体" w:cs="宋体"/>
                <w:kern w:val="0"/>
                <w:sz w:val="24"/>
              </w:rPr>
            </w:pPr>
          </w:p>
        </w:tc>
        <w:tc>
          <w:tcPr>
            <w:tcW w:w="1680" w:type="dxa"/>
            <w:vMerge w:val="continue"/>
            <w:vAlign w:val="center"/>
          </w:tcPr>
          <w:p w14:paraId="18DC1384">
            <w:pPr>
              <w:spacing w:line="360" w:lineRule="auto"/>
              <w:jc w:val="center"/>
              <w:rPr>
                <w:rFonts w:ascii="宋体" w:hAnsi="宋体" w:cs="宋体"/>
                <w:kern w:val="0"/>
                <w:sz w:val="24"/>
              </w:rPr>
            </w:pPr>
          </w:p>
        </w:tc>
        <w:tc>
          <w:tcPr>
            <w:tcW w:w="2025" w:type="dxa"/>
            <w:vAlign w:val="center"/>
          </w:tcPr>
          <w:p w14:paraId="144C93AF">
            <w:pPr>
              <w:spacing w:line="360" w:lineRule="auto"/>
              <w:jc w:val="center"/>
              <w:rPr>
                <w:rFonts w:ascii="宋体" w:hAnsi="宋体" w:cs="宋体"/>
                <w:kern w:val="0"/>
                <w:sz w:val="24"/>
              </w:rPr>
            </w:pPr>
            <w:r>
              <w:rPr>
                <w:rFonts w:hint="eastAsia" w:ascii="宋体" w:hAnsi="宋体" w:cs="宋体"/>
                <w:sz w:val="24"/>
              </w:rPr>
              <w:t>指导企业完成江苏省星级上云（包含三星级、四星级、五星级）企业数量</w:t>
            </w:r>
          </w:p>
        </w:tc>
        <w:tc>
          <w:tcPr>
            <w:tcW w:w="1500" w:type="dxa"/>
            <w:vAlign w:val="center"/>
          </w:tcPr>
          <w:p w14:paraId="67F77D8F">
            <w:pPr>
              <w:spacing w:line="360" w:lineRule="auto"/>
              <w:jc w:val="center"/>
              <w:rPr>
                <w:rFonts w:ascii="宋体" w:hAnsi="宋体" w:cs="宋体"/>
                <w:kern w:val="0"/>
                <w:sz w:val="24"/>
              </w:rPr>
            </w:pPr>
            <w:r>
              <w:rPr>
                <w:rFonts w:hint="eastAsia" w:ascii="宋体" w:hAnsi="宋体" w:cs="宋体"/>
                <w:sz w:val="24"/>
              </w:rPr>
              <w:t>=500家</w:t>
            </w:r>
          </w:p>
        </w:tc>
        <w:tc>
          <w:tcPr>
            <w:tcW w:w="1470" w:type="dxa"/>
            <w:vAlign w:val="center"/>
          </w:tcPr>
          <w:p w14:paraId="74555306">
            <w:pPr>
              <w:spacing w:line="360" w:lineRule="auto"/>
              <w:jc w:val="center"/>
              <w:rPr>
                <w:rFonts w:ascii="宋体" w:hAnsi="宋体" w:cs="宋体"/>
                <w:kern w:val="0"/>
                <w:sz w:val="24"/>
              </w:rPr>
            </w:pPr>
            <w:r>
              <w:rPr>
                <w:rFonts w:hint="eastAsia" w:ascii="宋体" w:hAnsi="宋体" w:cs="宋体"/>
                <w:sz w:val="24"/>
              </w:rPr>
              <w:t>1972家</w:t>
            </w:r>
          </w:p>
        </w:tc>
        <w:tc>
          <w:tcPr>
            <w:tcW w:w="1815" w:type="dxa"/>
            <w:vAlign w:val="center"/>
          </w:tcPr>
          <w:p w14:paraId="58F9BC70">
            <w:pPr>
              <w:spacing w:line="360" w:lineRule="auto"/>
              <w:jc w:val="center"/>
              <w:rPr>
                <w:rFonts w:ascii="宋体" w:hAnsi="宋体" w:cs="宋体"/>
                <w:kern w:val="0"/>
                <w:sz w:val="24"/>
              </w:rPr>
            </w:pPr>
            <w:r>
              <w:rPr>
                <w:rFonts w:hint="eastAsia" w:ascii="宋体" w:hAnsi="宋体" w:cs="宋体"/>
                <w:sz w:val="24"/>
              </w:rPr>
              <w:t>省工信厅文件</w:t>
            </w:r>
          </w:p>
        </w:tc>
        <w:tc>
          <w:tcPr>
            <w:tcW w:w="1185" w:type="dxa"/>
            <w:vAlign w:val="center"/>
          </w:tcPr>
          <w:p w14:paraId="3820A55D">
            <w:pPr>
              <w:spacing w:line="360" w:lineRule="auto"/>
              <w:jc w:val="center"/>
              <w:rPr>
                <w:rFonts w:ascii="宋体" w:hAnsi="宋体" w:cs="宋体"/>
                <w:kern w:val="0"/>
                <w:sz w:val="24"/>
              </w:rPr>
            </w:pPr>
            <w:r>
              <w:rPr>
                <w:rFonts w:hint="eastAsia" w:ascii="宋体" w:hAnsi="宋体" w:cs="宋体"/>
                <w:sz w:val="24"/>
              </w:rPr>
              <w:t>294.40%</w:t>
            </w:r>
          </w:p>
        </w:tc>
        <w:tc>
          <w:tcPr>
            <w:tcW w:w="3248" w:type="dxa"/>
          </w:tcPr>
          <w:p w14:paraId="7B1842D9">
            <w:pPr>
              <w:spacing w:line="360" w:lineRule="auto"/>
              <w:rPr>
                <w:rFonts w:ascii="宋体" w:hAnsi="宋体" w:cs="宋体"/>
                <w:kern w:val="0"/>
                <w:sz w:val="22"/>
              </w:rPr>
            </w:pPr>
            <w:r>
              <w:rPr>
                <w:rFonts w:hint="eastAsia" w:ascii="宋体" w:hAnsi="宋体" w:cs="宋体"/>
                <w:sz w:val="24"/>
              </w:rPr>
              <w:t>2024年省工信厅要求全省规上企业星级上云覆盖率达到40%，并将其列入考核指标，为完成考核目标，全市积极发动企业申报。</w:t>
            </w:r>
          </w:p>
        </w:tc>
      </w:tr>
      <w:tr w14:paraId="51DF1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7D0680C4">
            <w:pPr>
              <w:spacing w:line="360" w:lineRule="auto"/>
              <w:jc w:val="center"/>
              <w:rPr>
                <w:rFonts w:ascii="宋体" w:hAnsi="宋体" w:cs="宋体"/>
                <w:kern w:val="0"/>
                <w:sz w:val="24"/>
              </w:rPr>
            </w:pPr>
          </w:p>
        </w:tc>
        <w:tc>
          <w:tcPr>
            <w:tcW w:w="1680" w:type="dxa"/>
            <w:vMerge w:val="continue"/>
            <w:vAlign w:val="center"/>
          </w:tcPr>
          <w:p w14:paraId="22AB2544">
            <w:pPr>
              <w:spacing w:line="360" w:lineRule="auto"/>
              <w:jc w:val="center"/>
              <w:rPr>
                <w:rFonts w:ascii="宋体" w:hAnsi="宋体" w:cs="宋体"/>
                <w:kern w:val="0"/>
                <w:sz w:val="24"/>
              </w:rPr>
            </w:pPr>
          </w:p>
        </w:tc>
        <w:tc>
          <w:tcPr>
            <w:tcW w:w="2025" w:type="dxa"/>
            <w:vAlign w:val="center"/>
          </w:tcPr>
          <w:p w14:paraId="384E262F">
            <w:pPr>
              <w:spacing w:line="360" w:lineRule="auto"/>
              <w:jc w:val="center"/>
              <w:rPr>
                <w:rFonts w:ascii="宋体" w:hAnsi="宋体" w:cs="宋体"/>
                <w:kern w:val="0"/>
                <w:sz w:val="24"/>
              </w:rPr>
            </w:pPr>
            <w:r>
              <w:rPr>
                <w:rFonts w:hint="eastAsia" w:ascii="宋体" w:hAnsi="宋体" w:cs="宋体"/>
                <w:sz w:val="24"/>
              </w:rPr>
              <w:t>完成年度工业企业资源综合利用评价报告</w:t>
            </w:r>
          </w:p>
        </w:tc>
        <w:tc>
          <w:tcPr>
            <w:tcW w:w="1500" w:type="dxa"/>
            <w:vAlign w:val="center"/>
          </w:tcPr>
          <w:p w14:paraId="1826D936">
            <w:pPr>
              <w:spacing w:line="360" w:lineRule="auto"/>
              <w:jc w:val="center"/>
              <w:rPr>
                <w:rFonts w:ascii="宋体" w:hAnsi="宋体" w:cs="宋体"/>
                <w:kern w:val="0"/>
                <w:sz w:val="24"/>
              </w:rPr>
            </w:pPr>
            <w:r>
              <w:rPr>
                <w:rFonts w:hint="eastAsia" w:ascii="宋体" w:hAnsi="宋体" w:cs="宋体"/>
                <w:sz w:val="24"/>
              </w:rPr>
              <w:t>=1份</w:t>
            </w:r>
          </w:p>
        </w:tc>
        <w:tc>
          <w:tcPr>
            <w:tcW w:w="1470" w:type="dxa"/>
            <w:vAlign w:val="center"/>
          </w:tcPr>
          <w:p w14:paraId="2BE7FA90">
            <w:pPr>
              <w:spacing w:line="360" w:lineRule="auto"/>
              <w:jc w:val="center"/>
              <w:rPr>
                <w:rFonts w:ascii="宋体" w:hAnsi="宋体" w:cs="宋体"/>
                <w:kern w:val="0"/>
                <w:sz w:val="24"/>
              </w:rPr>
            </w:pPr>
            <w:r>
              <w:rPr>
                <w:rFonts w:hint="eastAsia" w:ascii="宋体" w:hAnsi="宋体" w:cs="宋体"/>
                <w:sz w:val="24"/>
              </w:rPr>
              <w:t>1份</w:t>
            </w:r>
          </w:p>
        </w:tc>
        <w:tc>
          <w:tcPr>
            <w:tcW w:w="1815" w:type="dxa"/>
            <w:vAlign w:val="center"/>
          </w:tcPr>
          <w:p w14:paraId="522999CA">
            <w:pPr>
              <w:spacing w:line="360" w:lineRule="auto"/>
              <w:jc w:val="center"/>
              <w:rPr>
                <w:rFonts w:ascii="宋体" w:hAnsi="宋体" w:cs="宋体"/>
                <w:kern w:val="0"/>
                <w:sz w:val="24"/>
              </w:rPr>
            </w:pPr>
            <w:r>
              <w:rPr>
                <w:rFonts w:hint="eastAsia" w:ascii="宋体" w:hAnsi="宋体" w:cs="宋体"/>
                <w:sz w:val="24"/>
              </w:rPr>
              <w:t>工业企业资源综合利用评价报告</w:t>
            </w:r>
          </w:p>
        </w:tc>
        <w:tc>
          <w:tcPr>
            <w:tcW w:w="1185" w:type="dxa"/>
            <w:vAlign w:val="center"/>
          </w:tcPr>
          <w:p w14:paraId="6F2AB4BB">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7A0B3BAC">
            <w:pPr>
              <w:spacing w:line="360" w:lineRule="auto"/>
              <w:rPr>
                <w:rFonts w:ascii="宋体" w:hAnsi="宋体" w:cs="宋体"/>
                <w:kern w:val="0"/>
                <w:sz w:val="22"/>
              </w:rPr>
            </w:pPr>
          </w:p>
        </w:tc>
      </w:tr>
      <w:tr w14:paraId="0F61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7E95C111">
            <w:pPr>
              <w:spacing w:line="360" w:lineRule="auto"/>
              <w:jc w:val="center"/>
              <w:rPr>
                <w:rFonts w:ascii="宋体" w:hAnsi="宋体" w:cs="宋体"/>
                <w:kern w:val="0"/>
                <w:sz w:val="24"/>
              </w:rPr>
            </w:pPr>
          </w:p>
        </w:tc>
        <w:tc>
          <w:tcPr>
            <w:tcW w:w="1680" w:type="dxa"/>
            <w:vMerge w:val="continue"/>
            <w:vAlign w:val="center"/>
          </w:tcPr>
          <w:p w14:paraId="2007E975">
            <w:pPr>
              <w:spacing w:line="360" w:lineRule="auto"/>
              <w:jc w:val="center"/>
              <w:rPr>
                <w:rFonts w:ascii="宋体" w:hAnsi="宋体" w:cs="宋体"/>
                <w:kern w:val="0"/>
                <w:sz w:val="24"/>
              </w:rPr>
            </w:pPr>
          </w:p>
        </w:tc>
        <w:tc>
          <w:tcPr>
            <w:tcW w:w="2025" w:type="dxa"/>
            <w:vAlign w:val="center"/>
          </w:tcPr>
          <w:p w14:paraId="41604CFD">
            <w:pPr>
              <w:spacing w:line="360" w:lineRule="auto"/>
              <w:jc w:val="center"/>
              <w:rPr>
                <w:rFonts w:ascii="宋体" w:hAnsi="宋体" w:cs="宋体"/>
                <w:kern w:val="0"/>
                <w:sz w:val="24"/>
              </w:rPr>
            </w:pPr>
            <w:r>
              <w:rPr>
                <w:rFonts w:hint="eastAsia" w:ascii="宋体" w:hAnsi="宋体" w:cs="宋体"/>
                <w:sz w:val="24"/>
              </w:rPr>
              <w:t>调研课题报告完成时间</w:t>
            </w:r>
          </w:p>
        </w:tc>
        <w:tc>
          <w:tcPr>
            <w:tcW w:w="1500" w:type="dxa"/>
            <w:vAlign w:val="center"/>
          </w:tcPr>
          <w:p w14:paraId="27612BEF">
            <w:pPr>
              <w:spacing w:line="360" w:lineRule="auto"/>
              <w:jc w:val="center"/>
              <w:rPr>
                <w:rFonts w:ascii="宋体" w:hAnsi="宋体" w:cs="宋体"/>
                <w:kern w:val="0"/>
                <w:sz w:val="24"/>
              </w:rPr>
            </w:pPr>
            <w:r>
              <w:rPr>
                <w:rFonts w:hint="eastAsia" w:ascii="宋体" w:hAnsi="宋体" w:cs="宋体"/>
                <w:sz w:val="24"/>
              </w:rPr>
              <w:t>11月底前</w:t>
            </w:r>
          </w:p>
        </w:tc>
        <w:tc>
          <w:tcPr>
            <w:tcW w:w="1470" w:type="dxa"/>
            <w:vAlign w:val="center"/>
          </w:tcPr>
          <w:p w14:paraId="6AE1BB19">
            <w:pPr>
              <w:spacing w:line="360" w:lineRule="auto"/>
              <w:jc w:val="center"/>
              <w:rPr>
                <w:rFonts w:ascii="宋体" w:hAnsi="宋体" w:cs="宋体"/>
                <w:kern w:val="0"/>
                <w:sz w:val="24"/>
              </w:rPr>
            </w:pPr>
            <w:r>
              <w:rPr>
                <w:rFonts w:hint="eastAsia" w:ascii="宋体" w:hAnsi="宋体" w:cs="宋体"/>
                <w:sz w:val="24"/>
              </w:rPr>
              <w:t>11月底前</w:t>
            </w:r>
          </w:p>
        </w:tc>
        <w:tc>
          <w:tcPr>
            <w:tcW w:w="1815" w:type="dxa"/>
            <w:vAlign w:val="center"/>
          </w:tcPr>
          <w:p w14:paraId="19BA56A0">
            <w:pPr>
              <w:spacing w:line="360" w:lineRule="auto"/>
              <w:jc w:val="center"/>
              <w:rPr>
                <w:rFonts w:ascii="宋体" w:hAnsi="宋体" w:cs="宋体"/>
                <w:kern w:val="0"/>
                <w:sz w:val="24"/>
              </w:rPr>
            </w:pPr>
            <w:r>
              <w:rPr>
                <w:rFonts w:hint="eastAsia" w:ascii="宋体" w:hAnsi="宋体" w:cs="宋体"/>
                <w:sz w:val="24"/>
              </w:rPr>
              <w:t>相关工作台账</w:t>
            </w:r>
          </w:p>
        </w:tc>
        <w:tc>
          <w:tcPr>
            <w:tcW w:w="1185" w:type="dxa"/>
            <w:vAlign w:val="center"/>
          </w:tcPr>
          <w:p w14:paraId="4B09D44C">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0A8D3781">
            <w:pPr>
              <w:spacing w:line="360" w:lineRule="auto"/>
              <w:rPr>
                <w:rFonts w:ascii="宋体" w:hAnsi="宋体" w:cs="宋体"/>
                <w:kern w:val="0"/>
                <w:sz w:val="22"/>
              </w:rPr>
            </w:pPr>
          </w:p>
        </w:tc>
      </w:tr>
      <w:tr w14:paraId="085B7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35C7E59E">
            <w:pPr>
              <w:spacing w:line="360" w:lineRule="auto"/>
              <w:jc w:val="center"/>
              <w:rPr>
                <w:rFonts w:ascii="宋体" w:hAnsi="宋体" w:cs="宋体"/>
                <w:kern w:val="0"/>
                <w:sz w:val="24"/>
              </w:rPr>
            </w:pPr>
          </w:p>
        </w:tc>
        <w:tc>
          <w:tcPr>
            <w:tcW w:w="1680" w:type="dxa"/>
            <w:vMerge w:val="continue"/>
            <w:vAlign w:val="center"/>
          </w:tcPr>
          <w:p w14:paraId="10D2F3F3">
            <w:pPr>
              <w:spacing w:line="360" w:lineRule="auto"/>
              <w:jc w:val="center"/>
              <w:rPr>
                <w:rFonts w:ascii="宋体" w:hAnsi="宋体" w:cs="宋体"/>
                <w:kern w:val="0"/>
                <w:sz w:val="24"/>
              </w:rPr>
            </w:pPr>
          </w:p>
        </w:tc>
        <w:tc>
          <w:tcPr>
            <w:tcW w:w="2025" w:type="dxa"/>
            <w:vAlign w:val="center"/>
          </w:tcPr>
          <w:p w14:paraId="05D17EFA">
            <w:pPr>
              <w:spacing w:line="360" w:lineRule="auto"/>
              <w:jc w:val="center"/>
              <w:rPr>
                <w:rFonts w:ascii="宋体" w:hAnsi="宋体" w:cs="宋体"/>
                <w:kern w:val="0"/>
                <w:sz w:val="24"/>
              </w:rPr>
            </w:pPr>
            <w:r>
              <w:rPr>
                <w:rFonts w:hint="eastAsia" w:ascii="宋体" w:hAnsi="宋体" w:cs="宋体"/>
                <w:sz w:val="24"/>
              </w:rPr>
              <w:t>组织申报市级兼并重组项目批次</w:t>
            </w:r>
          </w:p>
        </w:tc>
        <w:tc>
          <w:tcPr>
            <w:tcW w:w="1500" w:type="dxa"/>
            <w:vAlign w:val="center"/>
          </w:tcPr>
          <w:p w14:paraId="59986988">
            <w:pPr>
              <w:spacing w:line="360" w:lineRule="auto"/>
              <w:jc w:val="center"/>
              <w:rPr>
                <w:rFonts w:ascii="宋体" w:hAnsi="宋体" w:cs="宋体"/>
                <w:kern w:val="0"/>
                <w:sz w:val="24"/>
              </w:rPr>
            </w:pPr>
            <w:r>
              <w:rPr>
                <w:rFonts w:hint="eastAsia" w:ascii="宋体" w:hAnsi="宋体" w:cs="宋体"/>
                <w:sz w:val="24"/>
              </w:rPr>
              <w:t>=1批次</w:t>
            </w:r>
          </w:p>
        </w:tc>
        <w:tc>
          <w:tcPr>
            <w:tcW w:w="1470" w:type="dxa"/>
            <w:vAlign w:val="center"/>
          </w:tcPr>
          <w:p w14:paraId="16258AE6">
            <w:pPr>
              <w:spacing w:line="360" w:lineRule="auto"/>
              <w:jc w:val="center"/>
              <w:rPr>
                <w:rFonts w:ascii="宋体" w:hAnsi="宋体" w:cs="宋体"/>
                <w:kern w:val="0"/>
                <w:sz w:val="24"/>
              </w:rPr>
            </w:pPr>
            <w:r>
              <w:rPr>
                <w:rFonts w:hint="eastAsia" w:ascii="宋体" w:hAnsi="宋体" w:cs="宋体"/>
                <w:sz w:val="24"/>
              </w:rPr>
              <w:t>0批次</w:t>
            </w:r>
          </w:p>
        </w:tc>
        <w:tc>
          <w:tcPr>
            <w:tcW w:w="1815" w:type="dxa"/>
            <w:vAlign w:val="center"/>
          </w:tcPr>
          <w:p w14:paraId="70729033">
            <w:pPr>
              <w:spacing w:line="360" w:lineRule="auto"/>
              <w:jc w:val="center"/>
              <w:rPr>
                <w:rFonts w:ascii="宋体" w:hAnsi="宋体" w:cs="宋体"/>
                <w:kern w:val="0"/>
                <w:sz w:val="24"/>
              </w:rPr>
            </w:pPr>
          </w:p>
        </w:tc>
        <w:tc>
          <w:tcPr>
            <w:tcW w:w="1185" w:type="dxa"/>
            <w:vAlign w:val="center"/>
          </w:tcPr>
          <w:p w14:paraId="084F44BC">
            <w:pPr>
              <w:spacing w:line="360" w:lineRule="auto"/>
              <w:jc w:val="center"/>
              <w:rPr>
                <w:rFonts w:ascii="宋体" w:hAnsi="宋体" w:cs="宋体"/>
                <w:kern w:val="0"/>
                <w:sz w:val="24"/>
              </w:rPr>
            </w:pPr>
            <w:r>
              <w:rPr>
                <w:rFonts w:hint="eastAsia" w:ascii="宋体" w:hAnsi="宋体" w:cs="宋体"/>
                <w:sz w:val="24"/>
              </w:rPr>
              <w:t>-100.00%</w:t>
            </w:r>
          </w:p>
        </w:tc>
        <w:tc>
          <w:tcPr>
            <w:tcW w:w="3248" w:type="dxa"/>
          </w:tcPr>
          <w:p w14:paraId="7BB0DFA3">
            <w:pPr>
              <w:spacing w:line="360" w:lineRule="auto"/>
              <w:rPr>
                <w:rFonts w:ascii="宋体" w:hAnsi="宋体" w:cs="宋体"/>
                <w:kern w:val="0"/>
                <w:sz w:val="22"/>
              </w:rPr>
            </w:pPr>
            <w:r>
              <w:rPr>
                <w:rFonts w:hint="eastAsia" w:ascii="宋体" w:hAnsi="宋体" w:cs="宋体"/>
                <w:sz w:val="24"/>
              </w:rPr>
              <w:t>2024年度市级打造先进制造业基地专项资金申报整体顺延至2025年。但因政策调整，在2025年度市级打造先进制造业基地专项资金申报中兼并重组项目已被取消。</w:t>
            </w:r>
          </w:p>
        </w:tc>
      </w:tr>
      <w:tr w14:paraId="0E95A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545169C3">
            <w:pPr>
              <w:spacing w:line="360" w:lineRule="auto"/>
              <w:jc w:val="center"/>
              <w:rPr>
                <w:rFonts w:ascii="宋体" w:hAnsi="宋体" w:cs="宋体"/>
                <w:kern w:val="0"/>
                <w:sz w:val="24"/>
              </w:rPr>
            </w:pPr>
          </w:p>
        </w:tc>
        <w:tc>
          <w:tcPr>
            <w:tcW w:w="1680" w:type="dxa"/>
            <w:vMerge w:val="continue"/>
            <w:vAlign w:val="center"/>
          </w:tcPr>
          <w:p w14:paraId="521DC98C">
            <w:pPr>
              <w:spacing w:line="360" w:lineRule="auto"/>
              <w:jc w:val="center"/>
              <w:rPr>
                <w:rFonts w:ascii="宋体" w:hAnsi="宋体" w:cs="宋体"/>
                <w:kern w:val="0"/>
                <w:sz w:val="24"/>
              </w:rPr>
            </w:pPr>
          </w:p>
        </w:tc>
        <w:tc>
          <w:tcPr>
            <w:tcW w:w="2025" w:type="dxa"/>
            <w:vAlign w:val="center"/>
          </w:tcPr>
          <w:p w14:paraId="4F12D980">
            <w:pPr>
              <w:spacing w:line="360" w:lineRule="auto"/>
              <w:jc w:val="center"/>
              <w:rPr>
                <w:rFonts w:ascii="宋体" w:hAnsi="宋体" w:cs="宋体"/>
                <w:kern w:val="0"/>
                <w:sz w:val="24"/>
              </w:rPr>
            </w:pPr>
            <w:r>
              <w:rPr>
                <w:rFonts w:hint="eastAsia" w:ascii="宋体" w:hAnsi="宋体" w:cs="宋体"/>
                <w:sz w:val="24"/>
              </w:rPr>
              <w:t>编制相关行业发展规划（调研报告）次数</w:t>
            </w:r>
          </w:p>
        </w:tc>
        <w:tc>
          <w:tcPr>
            <w:tcW w:w="1500" w:type="dxa"/>
            <w:vAlign w:val="center"/>
          </w:tcPr>
          <w:p w14:paraId="1AE9387C">
            <w:pPr>
              <w:spacing w:line="360" w:lineRule="auto"/>
              <w:jc w:val="center"/>
              <w:rPr>
                <w:rFonts w:ascii="宋体" w:hAnsi="宋体" w:cs="宋体"/>
                <w:kern w:val="0"/>
                <w:sz w:val="24"/>
              </w:rPr>
            </w:pPr>
            <w:r>
              <w:rPr>
                <w:rFonts w:hint="eastAsia" w:ascii="宋体" w:hAnsi="宋体" w:cs="宋体"/>
                <w:sz w:val="24"/>
              </w:rPr>
              <w:t>=1次</w:t>
            </w:r>
          </w:p>
        </w:tc>
        <w:tc>
          <w:tcPr>
            <w:tcW w:w="1470" w:type="dxa"/>
            <w:vAlign w:val="center"/>
          </w:tcPr>
          <w:p w14:paraId="7C88EA78">
            <w:pPr>
              <w:spacing w:line="360" w:lineRule="auto"/>
              <w:jc w:val="center"/>
              <w:rPr>
                <w:rFonts w:ascii="宋体" w:hAnsi="宋体" w:cs="宋体"/>
                <w:kern w:val="0"/>
                <w:sz w:val="24"/>
              </w:rPr>
            </w:pPr>
            <w:r>
              <w:rPr>
                <w:rFonts w:hint="eastAsia" w:ascii="宋体" w:hAnsi="宋体" w:cs="宋体"/>
                <w:sz w:val="24"/>
              </w:rPr>
              <w:t>1次</w:t>
            </w:r>
          </w:p>
        </w:tc>
        <w:tc>
          <w:tcPr>
            <w:tcW w:w="1815" w:type="dxa"/>
            <w:vAlign w:val="center"/>
          </w:tcPr>
          <w:p w14:paraId="60DAACBD">
            <w:pPr>
              <w:spacing w:line="360" w:lineRule="auto"/>
              <w:jc w:val="center"/>
              <w:rPr>
                <w:rFonts w:ascii="宋体" w:hAnsi="宋体" w:cs="宋体"/>
                <w:kern w:val="0"/>
                <w:sz w:val="24"/>
              </w:rPr>
            </w:pPr>
            <w:r>
              <w:rPr>
                <w:rFonts w:hint="eastAsia" w:ascii="宋体" w:hAnsi="宋体" w:cs="宋体"/>
                <w:sz w:val="24"/>
              </w:rPr>
              <w:t>消费电子产业链发展情况分析报告</w:t>
            </w:r>
          </w:p>
        </w:tc>
        <w:tc>
          <w:tcPr>
            <w:tcW w:w="1185" w:type="dxa"/>
            <w:vAlign w:val="center"/>
          </w:tcPr>
          <w:p w14:paraId="3802FA44">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6249AF40">
            <w:pPr>
              <w:spacing w:line="360" w:lineRule="auto"/>
              <w:rPr>
                <w:rFonts w:ascii="宋体" w:hAnsi="宋体" w:cs="宋体"/>
                <w:kern w:val="0"/>
                <w:sz w:val="22"/>
              </w:rPr>
            </w:pPr>
          </w:p>
        </w:tc>
      </w:tr>
      <w:tr w14:paraId="75CE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2E9A73D5">
            <w:pPr>
              <w:spacing w:line="360" w:lineRule="auto"/>
              <w:jc w:val="center"/>
              <w:rPr>
                <w:rFonts w:ascii="宋体" w:hAnsi="宋体" w:cs="宋体"/>
                <w:kern w:val="0"/>
                <w:sz w:val="24"/>
              </w:rPr>
            </w:pPr>
          </w:p>
        </w:tc>
        <w:tc>
          <w:tcPr>
            <w:tcW w:w="1680" w:type="dxa"/>
            <w:vMerge w:val="continue"/>
            <w:vAlign w:val="center"/>
          </w:tcPr>
          <w:p w14:paraId="44B94D69">
            <w:pPr>
              <w:spacing w:line="360" w:lineRule="auto"/>
              <w:jc w:val="center"/>
              <w:rPr>
                <w:rFonts w:ascii="宋体" w:hAnsi="宋体" w:cs="宋体"/>
                <w:kern w:val="0"/>
                <w:sz w:val="24"/>
              </w:rPr>
            </w:pPr>
          </w:p>
        </w:tc>
        <w:tc>
          <w:tcPr>
            <w:tcW w:w="2025" w:type="dxa"/>
            <w:vAlign w:val="center"/>
          </w:tcPr>
          <w:p w14:paraId="6BEF24F1">
            <w:pPr>
              <w:spacing w:line="360" w:lineRule="auto"/>
              <w:jc w:val="center"/>
              <w:rPr>
                <w:rFonts w:ascii="宋体" w:hAnsi="宋体" w:cs="宋体"/>
                <w:kern w:val="0"/>
                <w:sz w:val="24"/>
              </w:rPr>
            </w:pPr>
            <w:r>
              <w:rPr>
                <w:rFonts w:hint="eastAsia" w:ascii="宋体" w:hAnsi="宋体" w:cs="宋体"/>
                <w:sz w:val="24"/>
              </w:rPr>
              <w:t>推动企业达到数字化能力水平二级及以上（包含二级、三级、四级）企业数量</w:t>
            </w:r>
          </w:p>
        </w:tc>
        <w:tc>
          <w:tcPr>
            <w:tcW w:w="1500" w:type="dxa"/>
            <w:vAlign w:val="center"/>
          </w:tcPr>
          <w:p w14:paraId="137074AE">
            <w:pPr>
              <w:spacing w:line="360" w:lineRule="auto"/>
              <w:jc w:val="center"/>
              <w:rPr>
                <w:rFonts w:ascii="宋体" w:hAnsi="宋体" w:cs="宋体"/>
                <w:kern w:val="0"/>
                <w:sz w:val="24"/>
              </w:rPr>
            </w:pPr>
            <w:r>
              <w:rPr>
                <w:rFonts w:hint="eastAsia" w:ascii="宋体" w:hAnsi="宋体" w:cs="宋体"/>
                <w:sz w:val="24"/>
              </w:rPr>
              <w:t>=200家</w:t>
            </w:r>
          </w:p>
        </w:tc>
        <w:tc>
          <w:tcPr>
            <w:tcW w:w="1470" w:type="dxa"/>
            <w:vAlign w:val="center"/>
          </w:tcPr>
          <w:p w14:paraId="60491D60">
            <w:pPr>
              <w:spacing w:line="360" w:lineRule="auto"/>
              <w:jc w:val="center"/>
              <w:rPr>
                <w:rFonts w:ascii="宋体" w:hAnsi="宋体" w:cs="宋体"/>
                <w:kern w:val="0"/>
                <w:sz w:val="24"/>
              </w:rPr>
            </w:pPr>
            <w:r>
              <w:rPr>
                <w:rFonts w:hint="eastAsia" w:ascii="宋体" w:hAnsi="宋体" w:cs="宋体"/>
                <w:sz w:val="24"/>
              </w:rPr>
              <w:t>316家</w:t>
            </w:r>
          </w:p>
        </w:tc>
        <w:tc>
          <w:tcPr>
            <w:tcW w:w="1815" w:type="dxa"/>
            <w:vAlign w:val="center"/>
          </w:tcPr>
          <w:p w14:paraId="34E432E8">
            <w:pPr>
              <w:spacing w:line="360" w:lineRule="auto"/>
              <w:jc w:val="center"/>
              <w:rPr>
                <w:rFonts w:ascii="宋体" w:hAnsi="宋体" w:cs="宋体"/>
                <w:kern w:val="0"/>
                <w:sz w:val="24"/>
              </w:rPr>
            </w:pPr>
            <w:r>
              <w:rPr>
                <w:rFonts w:hint="eastAsia" w:ascii="宋体" w:hAnsi="宋体" w:cs="宋体"/>
                <w:sz w:val="24"/>
              </w:rPr>
              <w:t>工信部中小企业数字化水平评测平台</w:t>
            </w:r>
          </w:p>
        </w:tc>
        <w:tc>
          <w:tcPr>
            <w:tcW w:w="1185" w:type="dxa"/>
            <w:vAlign w:val="center"/>
          </w:tcPr>
          <w:p w14:paraId="55AC8C83">
            <w:pPr>
              <w:spacing w:line="360" w:lineRule="auto"/>
              <w:jc w:val="center"/>
              <w:rPr>
                <w:rFonts w:ascii="宋体" w:hAnsi="宋体" w:cs="宋体"/>
                <w:kern w:val="0"/>
                <w:sz w:val="24"/>
              </w:rPr>
            </w:pPr>
            <w:r>
              <w:rPr>
                <w:rFonts w:hint="eastAsia" w:ascii="宋体" w:hAnsi="宋体" w:cs="宋体"/>
                <w:sz w:val="24"/>
              </w:rPr>
              <w:t>58.00%</w:t>
            </w:r>
          </w:p>
        </w:tc>
        <w:tc>
          <w:tcPr>
            <w:tcW w:w="3248" w:type="dxa"/>
          </w:tcPr>
          <w:p w14:paraId="384E51F5">
            <w:pPr>
              <w:spacing w:line="360" w:lineRule="auto"/>
              <w:rPr>
                <w:rFonts w:ascii="宋体" w:hAnsi="宋体" w:cs="宋体"/>
                <w:kern w:val="0"/>
                <w:sz w:val="22"/>
              </w:rPr>
            </w:pPr>
            <w:r>
              <w:rPr>
                <w:rFonts w:hint="eastAsia" w:ascii="宋体" w:hAnsi="宋体" w:cs="宋体"/>
                <w:sz w:val="24"/>
              </w:rPr>
              <w:t>根据工信部最新要求，试点企业需在工信部平台上进行数字化水平评测，截至2024年底，共有316家试点企业已在平台上填报评测且结果为二级及以上。</w:t>
            </w:r>
          </w:p>
        </w:tc>
      </w:tr>
      <w:tr w14:paraId="32291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76F84C1A">
            <w:pPr>
              <w:spacing w:line="360" w:lineRule="auto"/>
              <w:jc w:val="center"/>
              <w:rPr>
                <w:rFonts w:ascii="宋体" w:hAnsi="宋体" w:cs="宋体"/>
                <w:kern w:val="0"/>
                <w:sz w:val="24"/>
              </w:rPr>
            </w:pPr>
          </w:p>
        </w:tc>
        <w:tc>
          <w:tcPr>
            <w:tcW w:w="1680" w:type="dxa"/>
            <w:vMerge w:val="continue"/>
            <w:vAlign w:val="center"/>
          </w:tcPr>
          <w:p w14:paraId="3D74160E">
            <w:pPr>
              <w:spacing w:line="360" w:lineRule="auto"/>
              <w:jc w:val="center"/>
              <w:rPr>
                <w:rFonts w:ascii="宋体" w:hAnsi="宋体" w:cs="宋体"/>
                <w:kern w:val="0"/>
                <w:sz w:val="24"/>
              </w:rPr>
            </w:pPr>
          </w:p>
        </w:tc>
        <w:tc>
          <w:tcPr>
            <w:tcW w:w="2025" w:type="dxa"/>
            <w:vAlign w:val="center"/>
          </w:tcPr>
          <w:p w14:paraId="56BA5B18">
            <w:pPr>
              <w:spacing w:line="360" w:lineRule="auto"/>
              <w:jc w:val="center"/>
              <w:rPr>
                <w:rFonts w:ascii="宋体" w:hAnsi="宋体" w:cs="宋体"/>
                <w:kern w:val="0"/>
                <w:sz w:val="24"/>
              </w:rPr>
            </w:pPr>
            <w:r>
              <w:rPr>
                <w:rFonts w:hint="eastAsia" w:ascii="宋体" w:hAnsi="宋体" w:cs="宋体"/>
                <w:sz w:val="24"/>
              </w:rPr>
              <w:t>新增认定苏锡常首台（套）重大技术装备数量</w:t>
            </w:r>
          </w:p>
        </w:tc>
        <w:tc>
          <w:tcPr>
            <w:tcW w:w="1500" w:type="dxa"/>
            <w:vAlign w:val="center"/>
          </w:tcPr>
          <w:p w14:paraId="4826EABD">
            <w:pPr>
              <w:spacing w:line="360" w:lineRule="auto"/>
              <w:jc w:val="center"/>
              <w:rPr>
                <w:rFonts w:ascii="宋体" w:hAnsi="宋体" w:cs="宋体"/>
                <w:kern w:val="0"/>
                <w:sz w:val="24"/>
              </w:rPr>
            </w:pPr>
            <w:r>
              <w:rPr>
                <w:rFonts w:hint="eastAsia" w:ascii="宋体" w:hAnsi="宋体" w:cs="宋体"/>
                <w:sz w:val="24"/>
              </w:rPr>
              <w:t>=30台（套）</w:t>
            </w:r>
          </w:p>
        </w:tc>
        <w:tc>
          <w:tcPr>
            <w:tcW w:w="1470" w:type="dxa"/>
            <w:vAlign w:val="center"/>
          </w:tcPr>
          <w:p w14:paraId="2FF9B19B">
            <w:pPr>
              <w:spacing w:line="360" w:lineRule="auto"/>
              <w:jc w:val="center"/>
              <w:rPr>
                <w:rFonts w:ascii="宋体" w:hAnsi="宋体" w:cs="宋体"/>
                <w:kern w:val="0"/>
                <w:sz w:val="24"/>
              </w:rPr>
            </w:pPr>
            <w:r>
              <w:rPr>
                <w:rFonts w:hint="eastAsia" w:ascii="宋体" w:hAnsi="宋体" w:cs="宋体"/>
                <w:sz w:val="24"/>
              </w:rPr>
              <w:t>40台（套）</w:t>
            </w:r>
          </w:p>
        </w:tc>
        <w:tc>
          <w:tcPr>
            <w:tcW w:w="1815" w:type="dxa"/>
            <w:vAlign w:val="center"/>
          </w:tcPr>
          <w:p w14:paraId="48D8183F">
            <w:pPr>
              <w:spacing w:line="360" w:lineRule="auto"/>
              <w:jc w:val="center"/>
              <w:rPr>
                <w:rFonts w:ascii="宋体" w:hAnsi="宋体" w:cs="宋体"/>
                <w:kern w:val="0"/>
                <w:sz w:val="24"/>
              </w:rPr>
            </w:pPr>
            <w:r>
              <w:rPr>
                <w:rFonts w:hint="eastAsia" w:ascii="宋体" w:hAnsi="宋体" w:cs="宋体"/>
                <w:sz w:val="24"/>
              </w:rPr>
              <w:t>苏锡常首台（套）重大装备认定名单</w:t>
            </w:r>
          </w:p>
        </w:tc>
        <w:tc>
          <w:tcPr>
            <w:tcW w:w="1185" w:type="dxa"/>
            <w:vAlign w:val="center"/>
          </w:tcPr>
          <w:p w14:paraId="57AB023D">
            <w:pPr>
              <w:spacing w:line="360" w:lineRule="auto"/>
              <w:jc w:val="center"/>
              <w:rPr>
                <w:rFonts w:ascii="宋体" w:hAnsi="宋体" w:cs="宋体"/>
                <w:kern w:val="0"/>
                <w:sz w:val="24"/>
              </w:rPr>
            </w:pPr>
            <w:r>
              <w:rPr>
                <w:rFonts w:hint="eastAsia" w:ascii="宋体" w:hAnsi="宋体" w:cs="宋体"/>
                <w:sz w:val="24"/>
              </w:rPr>
              <w:t>33.33%</w:t>
            </w:r>
          </w:p>
        </w:tc>
        <w:tc>
          <w:tcPr>
            <w:tcW w:w="3248" w:type="dxa"/>
          </w:tcPr>
          <w:p w14:paraId="5B658081">
            <w:pPr>
              <w:spacing w:line="360" w:lineRule="auto"/>
              <w:rPr>
                <w:rFonts w:ascii="宋体" w:hAnsi="宋体" w:cs="宋体"/>
                <w:kern w:val="0"/>
                <w:sz w:val="22"/>
              </w:rPr>
            </w:pPr>
            <w:r>
              <w:rPr>
                <w:rFonts w:hint="eastAsia" w:ascii="宋体" w:hAnsi="宋体" w:cs="宋体"/>
                <w:sz w:val="24"/>
              </w:rPr>
              <w:t>随着产业发展，三地协商扩大认定名单数量。</w:t>
            </w:r>
          </w:p>
        </w:tc>
      </w:tr>
      <w:tr w14:paraId="4BF80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3D3840EE">
            <w:pPr>
              <w:spacing w:line="360" w:lineRule="auto"/>
              <w:jc w:val="center"/>
              <w:rPr>
                <w:rFonts w:ascii="宋体" w:hAnsi="宋体" w:cs="宋体"/>
                <w:kern w:val="0"/>
                <w:sz w:val="24"/>
              </w:rPr>
            </w:pPr>
          </w:p>
        </w:tc>
        <w:tc>
          <w:tcPr>
            <w:tcW w:w="1680" w:type="dxa"/>
            <w:vMerge w:val="continue"/>
            <w:vAlign w:val="center"/>
          </w:tcPr>
          <w:p w14:paraId="65432C4B">
            <w:pPr>
              <w:spacing w:line="360" w:lineRule="auto"/>
              <w:jc w:val="center"/>
              <w:rPr>
                <w:rFonts w:ascii="宋体" w:hAnsi="宋体" w:cs="宋体"/>
                <w:kern w:val="0"/>
                <w:sz w:val="24"/>
              </w:rPr>
            </w:pPr>
          </w:p>
        </w:tc>
        <w:tc>
          <w:tcPr>
            <w:tcW w:w="2025" w:type="dxa"/>
            <w:vAlign w:val="center"/>
          </w:tcPr>
          <w:p w14:paraId="625E7179">
            <w:pPr>
              <w:spacing w:line="360" w:lineRule="auto"/>
              <w:jc w:val="center"/>
              <w:rPr>
                <w:rFonts w:ascii="宋体" w:hAnsi="宋体" w:cs="宋体"/>
                <w:kern w:val="0"/>
                <w:sz w:val="24"/>
              </w:rPr>
            </w:pPr>
            <w:r>
              <w:rPr>
                <w:rFonts w:hint="eastAsia" w:ascii="宋体" w:hAnsi="宋体" w:cs="宋体"/>
                <w:sz w:val="24"/>
              </w:rPr>
              <w:t>累计获评苏州市自主品牌大企业和领军企业先进技术研究院数量</w:t>
            </w:r>
          </w:p>
        </w:tc>
        <w:tc>
          <w:tcPr>
            <w:tcW w:w="1500" w:type="dxa"/>
            <w:vAlign w:val="center"/>
          </w:tcPr>
          <w:p w14:paraId="3FB61345">
            <w:pPr>
              <w:spacing w:line="360" w:lineRule="auto"/>
              <w:jc w:val="center"/>
              <w:rPr>
                <w:rFonts w:ascii="宋体" w:hAnsi="宋体" w:cs="宋体"/>
                <w:kern w:val="0"/>
                <w:sz w:val="24"/>
              </w:rPr>
            </w:pPr>
            <w:r>
              <w:rPr>
                <w:rFonts w:hint="eastAsia" w:ascii="宋体" w:hAnsi="宋体" w:cs="宋体"/>
                <w:sz w:val="24"/>
              </w:rPr>
              <w:t>=55家</w:t>
            </w:r>
          </w:p>
        </w:tc>
        <w:tc>
          <w:tcPr>
            <w:tcW w:w="1470" w:type="dxa"/>
            <w:vAlign w:val="center"/>
          </w:tcPr>
          <w:p w14:paraId="4643DFB5">
            <w:pPr>
              <w:spacing w:line="360" w:lineRule="auto"/>
              <w:jc w:val="center"/>
              <w:rPr>
                <w:rFonts w:ascii="宋体" w:hAnsi="宋体" w:cs="宋体"/>
                <w:kern w:val="0"/>
                <w:sz w:val="24"/>
              </w:rPr>
            </w:pPr>
            <w:r>
              <w:rPr>
                <w:rFonts w:hint="eastAsia" w:ascii="宋体" w:hAnsi="宋体" w:cs="宋体"/>
                <w:sz w:val="24"/>
              </w:rPr>
              <w:t>55家</w:t>
            </w:r>
          </w:p>
        </w:tc>
        <w:tc>
          <w:tcPr>
            <w:tcW w:w="1815" w:type="dxa"/>
            <w:vAlign w:val="center"/>
          </w:tcPr>
          <w:p w14:paraId="3FAF3F13">
            <w:pPr>
              <w:spacing w:line="360" w:lineRule="auto"/>
              <w:jc w:val="center"/>
              <w:rPr>
                <w:rFonts w:ascii="宋体" w:hAnsi="宋体" w:cs="宋体"/>
                <w:kern w:val="0"/>
                <w:sz w:val="24"/>
              </w:rPr>
            </w:pPr>
            <w:r>
              <w:rPr>
                <w:rFonts w:hint="eastAsia" w:ascii="宋体" w:hAnsi="宋体" w:cs="宋体"/>
                <w:sz w:val="24"/>
              </w:rPr>
              <w:t>认定文件</w:t>
            </w:r>
          </w:p>
        </w:tc>
        <w:tc>
          <w:tcPr>
            <w:tcW w:w="1185" w:type="dxa"/>
            <w:vAlign w:val="center"/>
          </w:tcPr>
          <w:p w14:paraId="4D94C097">
            <w:pPr>
              <w:spacing w:line="360" w:lineRule="auto"/>
              <w:jc w:val="center"/>
              <w:rPr>
                <w:rFonts w:ascii="宋体" w:hAnsi="宋体" w:cs="宋体"/>
                <w:kern w:val="0"/>
                <w:sz w:val="24"/>
              </w:rPr>
            </w:pPr>
            <w:r>
              <w:rPr>
                <w:rFonts w:hint="eastAsia" w:ascii="宋体" w:hAnsi="宋体" w:cs="宋体"/>
                <w:sz w:val="24"/>
              </w:rPr>
              <w:t>0.00%</w:t>
            </w:r>
          </w:p>
        </w:tc>
        <w:tc>
          <w:tcPr>
            <w:tcW w:w="3248" w:type="dxa"/>
          </w:tcPr>
          <w:p w14:paraId="32D8294E">
            <w:pPr>
              <w:spacing w:line="360" w:lineRule="auto"/>
              <w:rPr>
                <w:rFonts w:ascii="宋体" w:hAnsi="宋体" w:cs="宋体"/>
                <w:kern w:val="0"/>
                <w:sz w:val="22"/>
              </w:rPr>
            </w:pPr>
          </w:p>
        </w:tc>
      </w:tr>
      <w:tr w14:paraId="03D43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6" w:type="dxa"/>
            <w:vMerge w:val="continue"/>
            <w:vAlign w:val="center"/>
          </w:tcPr>
          <w:p w14:paraId="146587DC">
            <w:pPr>
              <w:spacing w:line="360" w:lineRule="auto"/>
              <w:jc w:val="center"/>
              <w:rPr>
                <w:rFonts w:ascii="宋体" w:hAnsi="宋体" w:cs="宋体"/>
                <w:kern w:val="0"/>
                <w:sz w:val="24"/>
              </w:rPr>
            </w:pPr>
          </w:p>
        </w:tc>
        <w:tc>
          <w:tcPr>
            <w:tcW w:w="1680" w:type="dxa"/>
            <w:vMerge w:val="continue"/>
            <w:vAlign w:val="center"/>
          </w:tcPr>
          <w:p w14:paraId="4EE92683">
            <w:pPr>
              <w:spacing w:line="360" w:lineRule="auto"/>
              <w:jc w:val="center"/>
              <w:rPr>
                <w:rFonts w:ascii="宋体" w:hAnsi="宋体" w:cs="宋体"/>
                <w:kern w:val="0"/>
                <w:sz w:val="24"/>
              </w:rPr>
            </w:pPr>
          </w:p>
        </w:tc>
        <w:tc>
          <w:tcPr>
            <w:tcW w:w="2025" w:type="dxa"/>
            <w:vAlign w:val="center"/>
          </w:tcPr>
          <w:p w14:paraId="01B72F01">
            <w:pPr>
              <w:spacing w:line="360" w:lineRule="auto"/>
              <w:jc w:val="center"/>
              <w:rPr>
                <w:rFonts w:ascii="宋体" w:hAnsi="宋体" w:cs="宋体"/>
                <w:kern w:val="0"/>
                <w:sz w:val="24"/>
              </w:rPr>
            </w:pPr>
            <w:r>
              <w:rPr>
                <w:rFonts w:hint="eastAsia" w:ascii="宋体" w:hAnsi="宋体" w:cs="宋体"/>
                <w:sz w:val="24"/>
              </w:rPr>
              <w:t>创建示范智能工厂和车间数量</w:t>
            </w:r>
          </w:p>
        </w:tc>
        <w:tc>
          <w:tcPr>
            <w:tcW w:w="1500" w:type="dxa"/>
            <w:vAlign w:val="center"/>
          </w:tcPr>
          <w:p w14:paraId="4ACC0E16">
            <w:pPr>
              <w:spacing w:line="360" w:lineRule="auto"/>
              <w:jc w:val="center"/>
              <w:rPr>
                <w:rFonts w:ascii="宋体" w:hAnsi="宋体" w:cs="宋体"/>
                <w:kern w:val="0"/>
                <w:sz w:val="24"/>
              </w:rPr>
            </w:pPr>
            <w:r>
              <w:rPr>
                <w:rFonts w:hint="eastAsia" w:ascii="宋体" w:hAnsi="宋体" w:cs="宋体"/>
                <w:sz w:val="24"/>
              </w:rPr>
              <w:t>=369个</w:t>
            </w:r>
          </w:p>
        </w:tc>
        <w:tc>
          <w:tcPr>
            <w:tcW w:w="1470" w:type="dxa"/>
            <w:vAlign w:val="center"/>
          </w:tcPr>
          <w:p w14:paraId="726311FD">
            <w:pPr>
              <w:spacing w:line="360" w:lineRule="auto"/>
              <w:jc w:val="center"/>
              <w:rPr>
                <w:rFonts w:ascii="宋体" w:hAnsi="宋体" w:cs="宋体"/>
                <w:kern w:val="0"/>
                <w:sz w:val="24"/>
              </w:rPr>
            </w:pPr>
            <w:r>
              <w:rPr>
                <w:rFonts w:hint="eastAsia" w:ascii="宋体" w:hAnsi="宋体" w:cs="宋体"/>
                <w:sz w:val="24"/>
              </w:rPr>
              <w:t>486个</w:t>
            </w:r>
          </w:p>
        </w:tc>
        <w:tc>
          <w:tcPr>
            <w:tcW w:w="1815" w:type="dxa"/>
            <w:vAlign w:val="center"/>
          </w:tcPr>
          <w:p w14:paraId="528E4D12">
            <w:pPr>
              <w:spacing w:line="360" w:lineRule="auto"/>
              <w:jc w:val="center"/>
              <w:rPr>
                <w:rFonts w:ascii="宋体" w:hAnsi="宋体" w:cs="宋体"/>
                <w:kern w:val="0"/>
                <w:sz w:val="24"/>
              </w:rPr>
            </w:pPr>
            <w:r>
              <w:rPr>
                <w:rFonts w:hint="eastAsia" w:ascii="宋体" w:hAnsi="宋体" w:cs="宋体"/>
                <w:sz w:val="24"/>
              </w:rPr>
              <w:t>智能工厂、车间发文</w:t>
            </w:r>
          </w:p>
        </w:tc>
        <w:tc>
          <w:tcPr>
            <w:tcW w:w="1185" w:type="dxa"/>
            <w:vAlign w:val="center"/>
          </w:tcPr>
          <w:p w14:paraId="6A568915">
            <w:pPr>
              <w:spacing w:line="360" w:lineRule="auto"/>
              <w:jc w:val="center"/>
              <w:rPr>
                <w:rFonts w:ascii="宋体" w:hAnsi="宋体" w:cs="宋体"/>
                <w:kern w:val="0"/>
                <w:sz w:val="24"/>
              </w:rPr>
            </w:pPr>
            <w:r>
              <w:rPr>
                <w:rFonts w:hint="eastAsia" w:ascii="宋体" w:hAnsi="宋体" w:cs="宋体"/>
                <w:sz w:val="24"/>
              </w:rPr>
              <w:t>31.71%</w:t>
            </w:r>
          </w:p>
        </w:tc>
        <w:tc>
          <w:tcPr>
            <w:tcW w:w="3248" w:type="dxa"/>
          </w:tcPr>
          <w:p w14:paraId="300056EE">
            <w:pPr>
              <w:spacing w:line="360" w:lineRule="auto"/>
              <w:rPr>
                <w:rFonts w:ascii="宋体" w:hAnsi="宋体" w:cs="宋体"/>
                <w:kern w:val="0"/>
                <w:sz w:val="22"/>
              </w:rPr>
            </w:pPr>
            <w:r>
              <w:rPr>
                <w:rFonts w:hint="eastAsia" w:ascii="宋体" w:hAnsi="宋体" w:cs="宋体"/>
                <w:sz w:val="24"/>
              </w:rPr>
              <w:t>省市持续培育壮大标杆示范企业梯队，推出相关扶持政策，有效激发了企业创建示范智能工厂和车间的积极性，企业参与度超出预期，最终实际创建数量高于计划数量。</w:t>
            </w:r>
          </w:p>
        </w:tc>
      </w:tr>
    </w:tbl>
    <w:p w14:paraId="68449822">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F826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32322B0D">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4C083">
    <w:pPr>
      <w:pStyle w:val="3"/>
      <w:framePr w:wrap="around" w:vAnchor="text" w:hAnchor="margin" w:xAlign="center" w:y="1"/>
      <w:rPr>
        <w:rStyle w:val="8"/>
      </w:rPr>
    </w:pPr>
    <w:r>
      <w:fldChar w:fldCharType="begin"/>
    </w:r>
    <w:r>
      <w:rPr>
        <w:rStyle w:val="8"/>
      </w:rPr>
      <w:instrText xml:space="preserve">PAGE  </w:instrText>
    </w:r>
    <w:r>
      <w:fldChar w:fldCharType="end"/>
    </w:r>
  </w:p>
  <w:p w14:paraId="03E352C2">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096F3">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29BB5757">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63CDB">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7A8C8">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1AC03">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9FB357"/>
    <w:multiLevelType w:val="singleLevel"/>
    <w:tmpl w:val="A29FB357"/>
    <w:lvl w:ilvl="0" w:tentative="0">
      <w:start w:val="2"/>
      <w:numFmt w:val="chineseCounting"/>
      <w:suff w:val="nothing"/>
      <w:lvlText w:val="（%1）"/>
      <w:lvlJc w:val="left"/>
      <w:rPr>
        <w:rFonts w:hint="eastAsia"/>
      </w:rPr>
    </w:lvl>
  </w:abstractNum>
  <w:abstractNum w:abstractNumId="1">
    <w:nsid w:val="E1EE6CED"/>
    <w:multiLevelType w:val="singleLevel"/>
    <w:tmpl w:val="E1EE6CED"/>
    <w:lvl w:ilvl="0" w:tentative="0">
      <w:start w:val="1"/>
      <w:numFmt w:val="chineseCounting"/>
      <w:suff w:val="nothing"/>
      <w:lvlText w:val="（%1）"/>
      <w:lvlJc w:val="left"/>
      <w:rPr>
        <w:rFonts w:hint="eastAsia"/>
      </w:rPr>
    </w:lvl>
  </w:abstractNum>
  <w:abstractNum w:abstractNumId="2">
    <w:nsid w:val="5D7BB9F1"/>
    <w:multiLevelType w:val="singleLevel"/>
    <w:tmpl w:val="5D7BB9F1"/>
    <w:lvl w:ilvl="0" w:tentative="0">
      <w:start w:val="7"/>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15B4120"/>
    <w:rsid w:val="022A731E"/>
    <w:rsid w:val="02A64119"/>
    <w:rsid w:val="03E90CA1"/>
    <w:rsid w:val="043D6C25"/>
    <w:rsid w:val="048667D3"/>
    <w:rsid w:val="049E006D"/>
    <w:rsid w:val="054C634F"/>
    <w:rsid w:val="07BD0E51"/>
    <w:rsid w:val="08DB7764"/>
    <w:rsid w:val="0C9A6ED5"/>
    <w:rsid w:val="100603AC"/>
    <w:rsid w:val="10F1631B"/>
    <w:rsid w:val="12A93FD5"/>
    <w:rsid w:val="130C2FEE"/>
    <w:rsid w:val="133D2133"/>
    <w:rsid w:val="13CE1647"/>
    <w:rsid w:val="17B84A32"/>
    <w:rsid w:val="18AC5CCF"/>
    <w:rsid w:val="19B01875"/>
    <w:rsid w:val="1A1C1CFA"/>
    <w:rsid w:val="1AD4001C"/>
    <w:rsid w:val="1C3E1334"/>
    <w:rsid w:val="1CFD4AD4"/>
    <w:rsid w:val="1D070020"/>
    <w:rsid w:val="1EB274DF"/>
    <w:rsid w:val="20106F8E"/>
    <w:rsid w:val="22B36787"/>
    <w:rsid w:val="231125AC"/>
    <w:rsid w:val="24077BFF"/>
    <w:rsid w:val="25B533C8"/>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544D740E"/>
    <w:rsid w:val="55AE0FCF"/>
    <w:rsid w:val="58FE18D5"/>
    <w:rsid w:val="594914BB"/>
    <w:rsid w:val="5AB40564"/>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6FFF6026"/>
    <w:rsid w:val="72167982"/>
    <w:rsid w:val="739B783A"/>
    <w:rsid w:val="75536D10"/>
    <w:rsid w:val="75B30C82"/>
    <w:rsid w:val="76B57CE1"/>
    <w:rsid w:val="770E7892"/>
    <w:rsid w:val="77980A6E"/>
    <w:rsid w:val="77F71564"/>
    <w:rsid w:val="78880B8D"/>
    <w:rsid w:val="792A54A4"/>
    <w:rsid w:val="79F159A9"/>
    <w:rsid w:val="7DFB3A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czj</Company>
  <Pages>31</Pages>
  <Words>17142</Words>
  <Characters>18654</Characters>
  <Lines>6</Lines>
  <Paragraphs>1</Paragraphs>
  <TotalTime>26</TotalTime>
  <ScaleCrop>false</ScaleCrop>
  <LinksUpToDate>false</LinksUpToDate>
  <CharactersWithSpaces>18673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2020-12-31T06:58:00Z</dcterms:created>
  <dc:creator>傅海英</dc:creator>
  <cp:lastModifiedBy>芽Q</cp:lastModifiedBy>
  <cp:lastPrinted>2019-06-21T02:10:00Z</cp:lastPrinted>
  <dcterms:modified xsi:type="dcterms:W3CDTF">2025-10-10T00:19:33Z</dcterms:modified>
  <dc:title>关于进行本市部门整体支出</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1EA0F8BCC41F4A83A424FECBF4961AB3</vt:lpwstr>
  </property>
  <property fmtid="{D5CDD505-2E9C-101B-9397-08002B2CF9AE}" pid="4" name="KSOTemplateDocerSaveRecord">
    <vt:lpwstr>eyJoZGlkIjoiNmU3NzA5NzA5YzYxMmVkNTc0MjIxYTkwNzU2YjdhYTgiLCJ1c2VySWQiOiIzMTg5Mjc3MzAifQ==</vt:lpwstr>
  </property>
</Properties>
</file>