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F3EA5"/>
    <w:p w14:paraId="4F2C5987"/>
    <w:p w14:paraId="2A4AC257"/>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19904001">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0A680EA7">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4A9F14F0">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78ACB4A">
            <w:pPr>
              <w:jc w:val="center"/>
              <w:rPr>
                <w:rFonts w:cs="Arial"/>
                <w:b/>
                <w:bCs/>
                <w:color w:val="000000"/>
                <w:sz w:val="36"/>
                <w:szCs w:val="36"/>
              </w:rPr>
            </w:pPr>
            <w:r>
              <w:rPr>
                <w:rFonts w:hint="eastAsia" w:cs="Arial"/>
                <w:b/>
                <w:bCs/>
                <w:color w:val="000000"/>
                <w:sz w:val="36"/>
                <w:szCs w:val="36"/>
              </w:rPr>
              <w:t>苏州市级财政支出项目绩效自评表</w:t>
            </w:r>
          </w:p>
        </w:tc>
      </w:tr>
      <w:tr w14:paraId="1F3ECBF9">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A6442DA">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D0BE237">
            <w:pPr>
              <w:jc w:val="center"/>
              <w:rPr>
                <w:rFonts w:cs="Arial"/>
                <w:color w:val="000000"/>
                <w:sz w:val="22"/>
              </w:rPr>
            </w:pPr>
            <w:r>
              <w:rPr>
                <w:rFonts w:hint="eastAsia" w:ascii="宋体" w:hAnsi="宋体"/>
                <w:sz w:val="22"/>
              </w:rPr>
              <w:t>市化治办日常办公经费</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DE9CA8C">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D6DAA99">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4</w:t>
            </w:r>
          </w:p>
        </w:tc>
      </w:tr>
      <w:tr w14:paraId="156F4FDC">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0EE158">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04B1998">
            <w:pPr>
              <w:jc w:val="center"/>
              <w:rPr>
                <w:rFonts w:cs="Arial"/>
                <w:color w:val="000000"/>
                <w:sz w:val="22"/>
              </w:rPr>
            </w:pPr>
            <w:r>
              <w:rPr>
                <w:rFonts w:hint="eastAsia" w:ascii="宋体" w:hAnsi="宋体"/>
                <w:sz w:val="22"/>
              </w:rPr>
              <w:t>苏州市工业和信息化局</w:t>
            </w:r>
          </w:p>
        </w:tc>
      </w:tr>
      <w:tr w14:paraId="63BC4E2C">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39E901">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F09D822">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64AB431">
            <w:pPr>
              <w:jc w:val="center"/>
              <w:rPr>
                <w:rFonts w:hint="eastAsia" w:cs="Arial"/>
                <w:color w:val="000000"/>
                <w:sz w:val="22"/>
              </w:rPr>
            </w:pPr>
            <w:r>
              <w:rPr>
                <w:rFonts w:hint="eastAsia" w:cs="Arial"/>
                <w:color w:val="000000"/>
                <w:sz w:val="22"/>
              </w:rPr>
              <w:t>当年使用上年结余、</w:t>
            </w:r>
          </w:p>
          <w:p w14:paraId="2BAB5C6B">
            <w:pPr>
              <w:jc w:val="center"/>
              <w:rPr>
                <w:rFonts w:cs="Arial"/>
                <w:color w:val="000000"/>
                <w:sz w:val="22"/>
              </w:rPr>
            </w:pPr>
            <w:r>
              <w:rPr>
                <w:rFonts w:hint="eastAsia" w:cs="Arial"/>
                <w:color w:val="000000"/>
                <w:sz w:val="22"/>
              </w:rPr>
              <w:t>结转及当年预算</w:t>
            </w:r>
            <w:r>
              <w:rPr>
                <w:rFonts w:hint="eastAsia" w:cs="Arial"/>
                <w:color w:val="000000"/>
                <w:sz w:val="22"/>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A61FB98">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2AD88D18">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3A4EC69">
            <w:pPr>
              <w:jc w:val="center"/>
              <w:rPr>
                <w:rFonts w:cs="Arial"/>
                <w:color w:val="000000"/>
                <w:sz w:val="22"/>
              </w:rPr>
            </w:pPr>
            <w:r>
              <w:rPr>
                <w:rFonts w:hint="eastAsia" w:cs="Arial"/>
                <w:color w:val="000000"/>
                <w:sz w:val="22"/>
              </w:rPr>
              <w:t>指标结余收回数</w:t>
            </w:r>
          </w:p>
        </w:tc>
      </w:tr>
      <w:tr w14:paraId="5D91594E">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166171E8">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6FA77A5">
            <w:pPr>
              <w:jc w:val="center"/>
              <w:rPr>
                <w:rFonts w:cs="Arial"/>
                <w:color w:val="000000"/>
                <w:sz w:val="22"/>
              </w:rPr>
            </w:pPr>
            <w:r>
              <w:rPr>
                <w:rFonts w:hint="eastAsia" w:ascii="宋体" w:hAnsi="宋体"/>
                <w:sz w:val="22"/>
              </w:rPr>
              <w:t>10</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9A288E1">
            <w:pPr>
              <w:jc w:val="center"/>
              <w:rPr>
                <w:rFonts w:cs="Arial"/>
                <w:color w:val="000000"/>
                <w:sz w:val="22"/>
              </w:rPr>
            </w:pP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843F7D4">
            <w:pPr>
              <w:jc w:val="center"/>
              <w:rPr>
                <w:rFonts w:cs="Arial"/>
                <w:color w:val="000000"/>
                <w:sz w:val="22"/>
              </w:rPr>
            </w:pPr>
            <w:r>
              <w:rPr>
                <w:rFonts w:hint="eastAsia" w:ascii="宋体" w:hAnsi="宋体"/>
                <w:sz w:val="22"/>
              </w:rPr>
              <w:t>10</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4CFC6721">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1AAEE5F">
            <w:pPr>
              <w:jc w:val="center"/>
              <w:rPr>
                <w:rFonts w:cs="Arial"/>
                <w:color w:val="000000"/>
                <w:sz w:val="22"/>
              </w:rPr>
            </w:pPr>
          </w:p>
        </w:tc>
      </w:tr>
      <w:tr w14:paraId="6D521CE4">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81E5D7">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DF76D9E">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BB28152">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944894">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2C324F6">
            <w:pPr>
              <w:jc w:val="center"/>
              <w:rPr>
                <w:rFonts w:cs="Arial"/>
                <w:color w:val="000000"/>
                <w:sz w:val="22"/>
              </w:rPr>
            </w:pPr>
            <w:r>
              <w:rPr>
                <w:rFonts w:hint="eastAsia" w:cs="Arial"/>
                <w:color w:val="000000"/>
                <w:sz w:val="22"/>
              </w:rPr>
              <w:t>其中：</w:t>
            </w:r>
          </w:p>
        </w:tc>
      </w:tr>
      <w:tr w14:paraId="38C0875A">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094F8841">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785F47E6">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1DB246D0">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1256DB9E">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3330ED1">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B18C13E">
            <w:pPr>
              <w:jc w:val="center"/>
              <w:rPr>
                <w:rFonts w:cs="Arial"/>
                <w:color w:val="000000"/>
                <w:sz w:val="22"/>
              </w:rPr>
            </w:pPr>
            <w:r>
              <w:rPr>
                <w:rFonts w:hint="eastAsia" w:cs="Arial"/>
                <w:color w:val="000000"/>
                <w:sz w:val="22"/>
              </w:rPr>
              <w:t>财政收回数</w:t>
            </w:r>
          </w:p>
        </w:tc>
      </w:tr>
      <w:tr w14:paraId="149177A6">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22984D56">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DB6A00A">
            <w:pPr>
              <w:jc w:val="center"/>
              <w:rPr>
                <w:rFonts w:cs="Arial"/>
                <w:color w:val="000000"/>
                <w:sz w:val="22"/>
              </w:rPr>
            </w:pPr>
            <w:r>
              <w:rPr>
                <w:rFonts w:hint="eastAsia" w:ascii="宋体" w:hAnsi="宋体"/>
                <w:sz w:val="22"/>
              </w:rPr>
              <w:t>10</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ABEBF03">
            <w:pPr>
              <w:jc w:val="center"/>
              <w:rPr>
                <w:rFonts w:cs="Arial"/>
                <w:color w:val="000000"/>
                <w:sz w:val="22"/>
              </w:rPr>
            </w:pPr>
            <w:r>
              <w:rPr>
                <w:rFonts w:hint="eastAsia" w:ascii="宋体" w:hAnsi="宋体"/>
                <w:sz w:val="22"/>
              </w:rPr>
              <w:t>9.15</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AC75189">
            <w:pPr>
              <w:jc w:val="center"/>
              <w:rPr>
                <w:rFonts w:cs="Arial"/>
                <w:color w:val="000000"/>
                <w:sz w:val="22"/>
              </w:rPr>
            </w:pPr>
            <w:r>
              <w:rPr>
                <w:rFonts w:hint="default" w:ascii="宋体" w:hAnsi="宋体"/>
                <w:sz w:val="22"/>
                <w:lang w:val="en-US"/>
              </w:rPr>
              <w:t>0</w:t>
            </w:r>
            <w:r>
              <w:rPr>
                <w:rFonts w:hint="eastAsia" w:ascii="宋体" w:hAnsi="宋体"/>
                <w:sz w:val="22"/>
              </w:rPr>
              <w:t>.85</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C7B17B5">
            <w:pPr>
              <w:jc w:val="center"/>
              <w:rPr>
                <w:rFonts w:cs="Arial"/>
                <w:color w:val="000000"/>
                <w:sz w:val="22"/>
              </w:rPr>
            </w:pP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2DFEC6E">
            <w:pPr>
              <w:jc w:val="center"/>
              <w:rPr>
                <w:rFonts w:cs="Arial"/>
                <w:color w:val="000000"/>
                <w:sz w:val="22"/>
              </w:rPr>
            </w:pPr>
            <w:r>
              <w:rPr>
                <w:rFonts w:hint="eastAsia" w:ascii="宋体" w:hAnsi="宋体"/>
                <w:sz w:val="22"/>
              </w:rPr>
              <w:t>0.85</w:t>
            </w:r>
          </w:p>
        </w:tc>
      </w:tr>
      <w:tr w14:paraId="5FB2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6A5B378E">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7242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7A0D0F01">
            <w:pPr>
              <w:widowControl/>
              <w:jc w:val="center"/>
              <w:rPr>
                <w:rFonts w:ascii="宋体" w:hAnsi="宋体" w:cs="Arial"/>
                <w:color w:val="000000"/>
                <w:kern w:val="0"/>
                <w:sz w:val="20"/>
                <w:szCs w:val="20"/>
              </w:rPr>
            </w:pPr>
            <w:r>
              <w:rPr>
                <w:rFonts w:ascii="宋体" w:hAnsi="宋体" w:eastAsia="宋体" w:cs="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25C15940">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35A1DEB4">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14:paraId="1088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716531AF">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1983D67F">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7A357D2B">
            <w:pPr>
              <w:widowControl/>
              <w:jc w:val="left"/>
              <w:rPr>
                <w:rFonts w:ascii="宋体" w:hAnsi="宋体" w:cs="Arial"/>
                <w:color w:val="000000"/>
                <w:kern w:val="0"/>
                <w:sz w:val="20"/>
                <w:szCs w:val="20"/>
              </w:rPr>
            </w:pPr>
            <w:r>
              <w:rPr>
                <w:rFonts w:hint="eastAsia" w:ascii="宋体" w:hAnsi="宋体" w:cs="Arial"/>
                <w:color w:val="000000"/>
                <w:kern w:val="0"/>
                <w:sz w:val="20"/>
                <w:szCs w:val="20"/>
              </w:rPr>
              <w:t>9.15</w:t>
            </w:r>
          </w:p>
        </w:tc>
      </w:tr>
      <w:tr w14:paraId="468D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1E27BBFE">
            <w:pPr>
              <w:widowControl/>
              <w:jc w:val="left"/>
              <w:rPr>
                <w:rFonts w:ascii="宋体" w:hAnsi="宋体" w:cs="Arial"/>
                <w:color w:val="000000"/>
                <w:kern w:val="0"/>
                <w:sz w:val="20"/>
                <w:szCs w:val="20"/>
              </w:rPr>
            </w:pPr>
            <w:r>
              <w:rPr>
                <w:rFonts w:hint="eastAsia" w:ascii="宋体" w:hAnsi="宋体" w:cs="Arial"/>
                <w:color w:val="000000"/>
                <w:kern w:val="0"/>
                <w:sz w:val="20"/>
                <w:szCs w:val="20"/>
              </w:rPr>
              <w:t>禁化武日常工作经费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2EC6680">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2A7EDCD9">
            <w:pPr>
              <w:widowControl/>
              <w:jc w:val="left"/>
              <w:rPr>
                <w:rFonts w:ascii="宋体" w:hAnsi="宋体" w:cs="Arial"/>
                <w:color w:val="000000"/>
                <w:kern w:val="0"/>
                <w:sz w:val="20"/>
                <w:szCs w:val="20"/>
              </w:rPr>
            </w:pPr>
            <w:r>
              <w:rPr>
                <w:rFonts w:hint="eastAsia" w:ascii="宋体" w:hAnsi="宋体" w:cs="Arial"/>
                <w:color w:val="000000"/>
                <w:kern w:val="0"/>
                <w:sz w:val="20"/>
                <w:szCs w:val="20"/>
              </w:rPr>
              <w:t>9.15</w:t>
            </w:r>
          </w:p>
        </w:tc>
      </w:tr>
      <w:tr w14:paraId="3540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1CAC58A5">
            <w:pPr>
              <w:widowControl/>
              <w:jc w:val="center"/>
              <w:rPr>
                <w:rFonts w:ascii="宋体" w:hAnsi="宋体" w:cs="Arial"/>
                <w:color w:val="000000"/>
                <w:kern w:val="0"/>
                <w:sz w:val="20"/>
                <w:szCs w:val="20"/>
              </w:rPr>
            </w:pPr>
            <w:r>
              <w:rPr>
                <w:rFonts w:ascii="宋体" w:hAnsi="宋体" w:eastAsia="宋体" w:cs="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2796C9F">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5A2FABA7">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74EE3BD5">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77CDBB59">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67E7FF3F">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2FB97579">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14:paraId="706A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14:paraId="14D62181">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16FBE900">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437BD56">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6B37444">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7F733E">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9737EE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7AC261F">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1C02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622608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ADCA06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F82BF12">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66056ED">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36F61E8">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F1B0A53">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88CF66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4A8C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808CA6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ADC6D3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4B73A6F">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D1A406">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7A54498">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BA2D740">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C56060F">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4966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FE0C1A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728543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1D174B0">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36A5E4A">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18EF307">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6A163A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0D81E5B">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C4B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BAB5C4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23C85C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5709C31">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EC575A8">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CE07E4A">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7C75C8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5C3B5E7">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905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513328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26FDA8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B1DD038">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6C49B76">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8BE83D8">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C146E6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3F705E8">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4B7B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8D77B58">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0840CFE3">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3282372">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C7F068B">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7417AB0">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778404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26E6E56">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08A2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23074F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7F41AA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24946A9">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951A0E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20D2533">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BA3FFE8">
            <w:pPr>
              <w:widowControl/>
              <w:jc w:val="left"/>
              <w:rPr>
                <w:rFonts w:ascii="宋体" w:hAnsi="宋体" w:cs="Arial"/>
                <w:color w:val="000000"/>
                <w:kern w:val="0"/>
                <w:sz w:val="20"/>
                <w:szCs w:val="20"/>
              </w:rPr>
            </w:pPr>
            <w:r>
              <w:rPr>
                <w:rFonts w:hint="eastAsia" w:ascii="宋体" w:hAnsi="宋体" w:cs="Arial"/>
                <w:color w:val="000000"/>
                <w:kern w:val="0"/>
                <w:sz w:val="20"/>
                <w:szCs w:val="20"/>
              </w:rPr>
              <w:t>91.5%</w:t>
            </w:r>
          </w:p>
        </w:tc>
        <w:tc>
          <w:tcPr>
            <w:tcW w:w="1215" w:type="dxa"/>
            <w:tcBorders>
              <w:top w:val="single" w:color="auto" w:sz="4" w:space="0"/>
              <w:left w:val="single" w:color="auto" w:sz="4" w:space="0"/>
              <w:bottom w:val="single" w:color="auto" w:sz="4" w:space="0"/>
              <w:right w:val="single" w:color="auto" w:sz="4" w:space="0"/>
            </w:tcBorders>
            <w:vAlign w:val="center"/>
          </w:tcPr>
          <w:p w14:paraId="0D8A80A5">
            <w:pPr>
              <w:widowControl/>
              <w:jc w:val="left"/>
              <w:rPr>
                <w:rFonts w:ascii="宋体" w:hAnsi="宋体" w:cs="Arial"/>
                <w:color w:val="000000"/>
                <w:kern w:val="0"/>
                <w:sz w:val="20"/>
                <w:szCs w:val="20"/>
              </w:rPr>
            </w:pPr>
            <w:r>
              <w:rPr>
                <w:rFonts w:hint="eastAsia" w:ascii="宋体" w:hAnsi="宋体" w:cs="Arial"/>
                <w:color w:val="000000"/>
                <w:kern w:val="0"/>
                <w:sz w:val="20"/>
                <w:szCs w:val="20"/>
              </w:rPr>
              <w:t>4.6</w:t>
            </w:r>
          </w:p>
        </w:tc>
      </w:tr>
      <w:tr w14:paraId="58AE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28F66F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C0B725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518F75E">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829928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110BA2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B726E35">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16BC624">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1682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26BE3E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B915BA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AE4A4B5">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24F0C0C">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92677D3">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BEBBCB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70304DB">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3E53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FC7819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21FD0A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7C5434A">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DFC13F0">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C8A5C1F">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47744A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5931920">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0CB1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A4024F">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6E7B8D5E">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F5762C9">
            <w:pPr>
              <w:widowControl/>
              <w:jc w:val="left"/>
              <w:rPr>
                <w:rFonts w:ascii="宋体" w:hAnsi="宋体" w:cs="Arial"/>
                <w:color w:val="000000"/>
                <w:kern w:val="0"/>
                <w:sz w:val="20"/>
                <w:szCs w:val="20"/>
              </w:rPr>
            </w:pPr>
            <w:r>
              <w:rPr>
                <w:rFonts w:hint="eastAsia" w:ascii="宋体" w:hAnsi="宋体" w:cs="Arial"/>
                <w:color w:val="000000"/>
                <w:kern w:val="0"/>
                <w:sz w:val="20"/>
                <w:szCs w:val="20"/>
              </w:rPr>
              <w:t>化工行业调研会商检查次数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56655CF">
            <w:pPr>
              <w:widowControl/>
              <w:jc w:val="left"/>
              <w:rPr>
                <w:rFonts w:hint="eastAsia" w:ascii="宋体" w:hAnsi="宋体" w:eastAsia="宋体" w:cs="Arial"/>
                <w:color w:val="000000"/>
                <w:kern w:val="0"/>
                <w:sz w:val="20"/>
                <w:szCs w:val="20"/>
                <w:lang w:eastAsia="zh-CN"/>
              </w:rPr>
            </w:pPr>
            <w:r>
              <w:rPr>
                <w:rFonts w:hint="eastAsia" w:ascii="宋体" w:hAnsi="宋体" w:cs="Arial"/>
                <w:color w:val="000000"/>
                <w:kern w:val="0"/>
                <w:sz w:val="20"/>
                <w:szCs w:val="20"/>
              </w:rPr>
              <w:t>&gt;=12</w:t>
            </w:r>
            <w:r>
              <w:rPr>
                <w:rFonts w:hint="eastAsia" w:ascii="宋体" w:hAnsi="宋体" w:cs="Arial"/>
                <w:color w:val="000000"/>
                <w:kern w:val="0"/>
                <w:sz w:val="20"/>
                <w:szCs w:val="20"/>
                <w:lang w:eastAsia="zh-CN"/>
              </w:rPr>
              <w:t>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9F12897">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088D710">
            <w:pPr>
              <w:widowControl/>
              <w:jc w:val="left"/>
              <w:rPr>
                <w:rFonts w:hint="eastAsia" w:ascii="宋体" w:hAnsi="宋体" w:eastAsia="宋体" w:cs="Arial"/>
                <w:color w:val="000000"/>
                <w:kern w:val="0"/>
                <w:sz w:val="20"/>
                <w:szCs w:val="20"/>
                <w:lang w:eastAsia="zh-CN"/>
              </w:rPr>
            </w:pPr>
            <w:r>
              <w:rPr>
                <w:rFonts w:hint="eastAsia" w:ascii="宋体" w:hAnsi="宋体" w:cs="Arial"/>
                <w:color w:val="000000"/>
                <w:kern w:val="0"/>
                <w:sz w:val="20"/>
                <w:szCs w:val="20"/>
              </w:rPr>
              <w:t>12</w:t>
            </w:r>
            <w:r>
              <w:rPr>
                <w:rFonts w:hint="eastAsia" w:ascii="宋体" w:hAnsi="宋体" w:cs="Arial"/>
                <w:color w:val="000000"/>
                <w:kern w:val="0"/>
                <w:sz w:val="20"/>
                <w:szCs w:val="20"/>
                <w:lang w:eastAsia="zh-CN"/>
              </w:rPr>
              <w:t>次</w:t>
            </w:r>
          </w:p>
        </w:tc>
        <w:tc>
          <w:tcPr>
            <w:tcW w:w="1215" w:type="dxa"/>
            <w:tcBorders>
              <w:top w:val="single" w:color="auto" w:sz="4" w:space="0"/>
              <w:left w:val="single" w:color="auto" w:sz="4" w:space="0"/>
              <w:bottom w:val="single" w:color="auto" w:sz="4" w:space="0"/>
              <w:right w:val="single" w:color="auto" w:sz="4" w:space="0"/>
            </w:tcBorders>
            <w:vAlign w:val="center"/>
          </w:tcPr>
          <w:p w14:paraId="415B2B02">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r>
      <w:tr w14:paraId="3BEC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535DF2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C88A4A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510063">
            <w:pPr>
              <w:widowControl/>
              <w:jc w:val="left"/>
              <w:rPr>
                <w:rFonts w:ascii="宋体" w:hAnsi="宋体" w:cs="Arial"/>
                <w:color w:val="000000"/>
                <w:kern w:val="0"/>
                <w:sz w:val="20"/>
                <w:szCs w:val="20"/>
              </w:rPr>
            </w:pPr>
            <w:r>
              <w:rPr>
                <w:rFonts w:hint="eastAsia" w:ascii="宋体" w:hAnsi="宋体" w:cs="Arial"/>
                <w:color w:val="000000"/>
                <w:kern w:val="0"/>
                <w:sz w:val="20"/>
                <w:szCs w:val="20"/>
              </w:rPr>
              <w:t>化工企业调研会商检查覆盖率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AF2F5F1">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&gt;=10</w:t>
            </w:r>
            <w:r>
              <w:rPr>
                <w:rFonts w:hint="eastAsia" w:ascii="宋体" w:hAnsi="宋体" w:cs="Arial"/>
                <w:color w:val="000000"/>
                <w:kern w:val="0"/>
                <w:sz w:val="20"/>
                <w:szCs w:val="20"/>
                <w:lang w:val="en-US" w:eastAsia="zh-CN"/>
              </w:rPr>
              <w:t>%</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0E0A108">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C290E35">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10</w:t>
            </w:r>
            <w:r>
              <w:rPr>
                <w:rFonts w:hint="eastAsia" w:ascii="宋体" w:hAnsi="宋体" w:cs="Arial"/>
                <w:color w:val="000000"/>
                <w:kern w:val="0"/>
                <w:sz w:val="20"/>
                <w:szCs w:val="20"/>
                <w:lang w:val="en-US" w:eastAsia="zh-CN"/>
              </w:rPr>
              <w:t>%</w:t>
            </w:r>
          </w:p>
        </w:tc>
        <w:tc>
          <w:tcPr>
            <w:tcW w:w="1215" w:type="dxa"/>
            <w:tcBorders>
              <w:top w:val="single" w:color="auto" w:sz="4" w:space="0"/>
              <w:left w:val="single" w:color="auto" w:sz="4" w:space="0"/>
              <w:bottom w:val="single" w:color="auto" w:sz="4" w:space="0"/>
              <w:right w:val="single" w:color="auto" w:sz="4" w:space="0"/>
            </w:tcBorders>
            <w:vAlign w:val="center"/>
          </w:tcPr>
          <w:p w14:paraId="45F93379">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r>
      <w:tr w14:paraId="2270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023A7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579A4D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8CD0BF">
            <w:pPr>
              <w:widowControl/>
              <w:jc w:val="left"/>
              <w:rPr>
                <w:rFonts w:ascii="宋体" w:hAnsi="宋体" w:cs="Arial"/>
                <w:color w:val="000000"/>
                <w:kern w:val="0"/>
                <w:sz w:val="20"/>
                <w:szCs w:val="20"/>
              </w:rPr>
            </w:pPr>
            <w:r>
              <w:rPr>
                <w:rFonts w:hint="eastAsia" w:ascii="宋体" w:hAnsi="宋体" w:cs="Arial"/>
                <w:color w:val="000000"/>
                <w:kern w:val="0"/>
                <w:sz w:val="20"/>
                <w:szCs w:val="20"/>
              </w:rPr>
              <w:t>开展调研会商检查及时性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AA1CB64">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5116AF7">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E353100">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F01A7B1">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r>
      <w:tr w14:paraId="5028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43F2BAB">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663581A8">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3DDFC9">
            <w:pPr>
              <w:widowControl/>
              <w:jc w:val="left"/>
              <w:rPr>
                <w:rFonts w:ascii="宋体" w:hAnsi="宋体" w:cs="Arial"/>
                <w:color w:val="000000"/>
                <w:kern w:val="0"/>
                <w:sz w:val="20"/>
                <w:szCs w:val="20"/>
              </w:rPr>
            </w:pPr>
            <w:r>
              <w:rPr>
                <w:rFonts w:hint="eastAsia" w:ascii="宋体" w:hAnsi="宋体" w:cs="Arial"/>
                <w:color w:val="000000"/>
                <w:kern w:val="0"/>
                <w:sz w:val="20"/>
                <w:szCs w:val="20"/>
              </w:rPr>
              <w:t>发现问题整改率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29FF92A">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&gt;=95</w:t>
            </w:r>
            <w:r>
              <w:rPr>
                <w:rFonts w:hint="eastAsia" w:ascii="宋体" w:hAnsi="宋体" w:cs="Arial"/>
                <w:color w:val="000000"/>
                <w:kern w:val="0"/>
                <w:sz w:val="20"/>
                <w:szCs w:val="20"/>
                <w:lang w:val="en-US" w:eastAsia="zh-CN"/>
              </w:rPr>
              <w:t>%</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C9E692A">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DBDFCA1">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100</w:t>
            </w:r>
            <w:r>
              <w:rPr>
                <w:rFonts w:hint="eastAsia" w:ascii="宋体" w:hAnsi="宋体" w:cs="Arial"/>
                <w:color w:val="000000"/>
                <w:kern w:val="0"/>
                <w:sz w:val="20"/>
                <w:szCs w:val="20"/>
                <w:lang w:val="en-US" w:eastAsia="zh-CN"/>
              </w:rPr>
              <w:t>%</w:t>
            </w:r>
          </w:p>
        </w:tc>
        <w:tc>
          <w:tcPr>
            <w:tcW w:w="1215" w:type="dxa"/>
            <w:tcBorders>
              <w:top w:val="single" w:color="auto" w:sz="4" w:space="0"/>
              <w:left w:val="single" w:color="auto" w:sz="4" w:space="0"/>
              <w:bottom w:val="single" w:color="auto" w:sz="4" w:space="0"/>
              <w:right w:val="single" w:color="auto" w:sz="4" w:space="0"/>
            </w:tcBorders>
            <w:vAlign w:val="center"/>
          </w:tcPr>
          <w:p w14:paraId="34A3EBAC">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r>
      <w:tr w14:paraId="6A48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F73E46D">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7A882EAA">
            <w:pPr>
              <w:widowControl/>
              <w:jc w:val="left"/>
              <w:rPr>
                <w:rFonts w:ascii="宋体" w:hAnsi="宋体" w:cs="Arial"/>
                <w:color w:val="000000"/>
                <w:kern w:val="0"/>
                <w:sz w:val="20"/>
                <w:szCs w:val="20"/>
              </w:rPr>
            </w:pPr>
            <w:r>
              <w:rPr>
                <w:rFonts w:hint="eastAsia" w:ascii="宋体" w:hAnsi="宋体" w:cs="Arial"/>
                <w:color w:val="000000"/>
                <w:kern w:val="0"/>
                <w:sz w:val="20"/>
                <w:szCs w:val="20"/>
              </w:rPr>
              <w:t>满意度目标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49C0B53">
            <w:pPr>
              <w:widowControl/>
              <w:jc w:val="left"/>
              <w:rPr>
                <w:rFonts w:ascii="宋体" w:hAnsi="宋体" w:cs="Arial"/>
                <w:color w:val="000000"/>
                <w:kern w:val="0"/>
                <w:sz w:val="20"/>
                <w:szCs w:val="20"/>
              </w:rPr>
            </w:pPr>
            <w:r>
              <w:rPr>
                <w:rFonts w:hint="eastAsia" w:ascii="宋体" w:hAnsi="宋体" w:cs="Arial"/>
                <w:color w:val="000000"/>
                <w:kern w:val="0"/>
                <w:sz w:val="20"/>
                <w:szCs w:val="20"/>
              </w:rPr>
              <w:t>企业对检查发现问题认可度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8D5E745">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&gt;=95</w:t>
            </w:r>
            <w:r>
              <w:rPr>
                <w:rFonts w:hint="eastAsia" w:ascii="宋体" w:hAnsi="宋体" w:cs="Arial"/>
                <w:color w:val="000000"/>
                <w:kern w:val="0"/>
                <w:sz w:val="20"/>
                <w:szCs w:val="20"/>
                <w:lang w:val="en-US" w:eastAsia="zh-CN"/>
              </w:rPr>
              <w:t>%</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413A65B">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BF078FA">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100</w:t>
            </w:r>
            <w:r>
              <w:rPr>
                <w:rFonts w:hint="eastAsia" w:ascii="宋体" w:hAnsi="宋体" w:cs="Arial"/>
                <w:color w:val="000000"/>
                <w:kern w:val="0"/>
                <w:sz w:val="20"/>
                <w:szCs w:val="20"/>
                <w:lang w:val="en-US" w:eastAsia="zh-CN"/>
              </w:rPr>
              <w:t>%</w:t>
            </w:r>
          </w:p>
        </w:tc>
        <w:tc>
          <w:tcPr>
            <w:tcW w:w="1215" w:type="dxa"/>
            <w:tcBorders>
              <w:top w:val="single" w:color="auto" w:sz="4" w:space="0"/>
              <w:left w:val="single" w:color="auto" w:sz="4" w:space="0"/>
              <w:bottom w:val="single" w:color="auto" w:sz="4" w:space="0"/>
              <w:right w:val="single" w:color="auto" w:sz="4" w:space="0"/>
            </w:tcBorders>
            <w:vAlign w:val="center"/>
          </w:tcPr>
          <w:p w14:paraId="4966E002">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r>
      <w:tr w14:paraId="2A84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1234C207">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3E83D8D5">
            <w:pPr>
              <w:widowControl/>
              <w:jc w:val="left"/>
              <w:rPr>
                <w:rFonts w:ascii="宋体" w:hAnsi="宋体" w:cs="Arial"/>
                <w:color w:val="000000"/>
                <w:kern w:val="0"/>
                <w:sz w:val="20"/>
                <w:szCs w:val="20"/>
              </w:rPr>
            </w:pPr>
            <w:r>
              <w:rPr>
                <w:rFonts w:hint="eastAsia" w:ascii="宋体" w:hAnsi="宋体"/>
                <w:sz w:val="22"/>
              </w:rPr>
              <w:t>78.6</w:t>
            </w:r>
          </w:p>
        </w:tc>
      </w:tr>
    </w:tbl>
    <w:p w14:paraId="4261BF67"/>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028FF184">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73ACA1">
            <w:pPr>
              <w:jc w:val="center"/>
              <w:rPr>
                <w:rFonts w:cs="Arial"/>
                <w:color w:val="000000"/>
                <w:sz w:val="22"/>
              </w:rPr>
            </w:pPr>
            <w:r>
              <w:rPr>
                <w:rFonts w:hint="eastAsia" w:eastAsia="黑体"/>
                <w:color w:val="000000"/>
                <w:kern w:val="0"/>
                <w:sz w:val="21"/>
                <w:szCs w:val="21"/>
                <w:highlight w:val="yellow"/>
              </w:rPr>
              <w:t>填表说明：</w:t>
            </w:r>
            <w:r>
              <w:rPr>
                <w:rFonts w:hint="eastAsia" w:eastAsia="楷体_GB2312"/>
                <w:b/>
                <w:color w:val="000000"/>
                <w:kern w:val="0"/>
                <w:sz w:val="21"/>
                <w:szCs w:val="21"/>
                <w:highlight w:val="yellow"/>
              </w:rPr>
              <w:t>1．</w:t>
            </w:r>
            <w:r>
              <w:rPr>
                <w:rFonts w:hint="eastAsia" w:eastAsia="楷体_GB2312"/>
                <w:color w:val="000000"/>
                <w:kern w:val="0"/>
                <w:sz w:val="21"/>
                <w:szCs w:val="21"/>
                <w:highlight w:val="yellow"/>
              </w:rPr>
              <w:t>“年初预算数”填</w:t>
            </w:r>
            <w:r>
              <w:rPr>
                <w:rFonts w:hint="eastAsia" w:eastAsia="楷体_GB2312"/>
                <w:color w:val="000000"/>
                <w:kern w:val="0"/>
                <w:sz w:val="21"/>
                <w:szCs w:val="21"/>
                <w:highlight w:val="yellow"/>
                <w:lang w:eastAsia="zh-CN"/>
              </w:rPr>
              <w:t>预算批复</w:t>
            </w:r>
            <w:r>
              <w:rPr>
                <w:rFonts w:hint="eastAsia" w:eastAsia="楷体_GB2312"/>
                <w:color w:val="000000"/>
                <w:kern w:val="0"/>
                <w:sz w:val="21"/>
                <w:szCs w:val="21"/>
                <w:highlight w:val="yellow"/>
              </w:rPr>
              <w:t>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数”填当年使用上年结余、结转数以及追加或</w:t>
            </w:r>
            <w:r>
              <w:rPr>
                <w:rFonts w:hint="eastAsia" w:eastAsia="楷体_GB2312"/>
                <w:color w:val="000000"/>
                <w:kern w:val="0"/>
                <w:sz w:val="21"/>
                <w:szCs w:val="21"/>
                <w:highlight w:val="yellow"/>
                <w:lang w:val="en-US" w:eastAsia="zh-CN"/>
              </w:rPr>
              <w:t>追减</w:t>
            </w:r>
            <w:r>
              <w:rPr>
                <w:rFonts w:hint="eastAsia" w:eastAsia="楷体_GB2312"/>
                <w:color w:val="000000"/>
                <w:kern w:val="0"/>
                <w:sz w:val="21"/>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数-财政拨款数；</w:t>
            </w:r>
            <w:r>
              <w:rPr>
                <w:rFonts w:hint="eastAsia" w:eastAsia="楷体_GB2312"/>
                <w:color w:val="000000"/>
                <w:kern w:val="0"/>
                <w:sz w:val="21"/>
                <w:szCs w:val="21"/>
                <w:highlight w:val="yellow"/>
                <w:lang w:val="en-US" w:eastAsia="zh-CN"/>
              </w:rPr>
              <w:t>计划结余数</w:t>
            </w:r>
            <w:r>
              <w:rPr>
                <w:rFonts w:hint="eastAsia" w:eastAsia="楷体_GB2312"/>
                <w:color w:val="000000"/>
                <w:kern w:val="0"/>
                <w:sz w:val="21"/>
                <w:szCs w:val="21"/>
                <w:highlight w:val="yellow"/>
              </w:rPr>
              <w:t>=财政拨款数-实际支付数=</w:t>
            </w:r>
            <w:r>
              <w:rPr>
                <w:rFonts w:hint="eastAsia" w:eastAsia="楷体_GB2312"/>
                <w:color w:val="000000"/>
                <w:kern w:val="0"/>
                <w:sz w:val="21"/>
                <w:szCs w:val="21"/>
                <w:highlight w:val="yellow"/>
                <w:lang w:val="en-US" w:eastAsia="zh-CN"/>
              </w:rPr>
              <w:t>计划</w:t>
            </w:r>
            <w:r>
              <w:rPr>
                <w:rFonts w:hint="eastAsia" w:eastAsia="楷体_GB2312"/>
                <w:color w:val="000000"/>
                <w:kern w:val="0"/>
                <w:sz w:val="21"/>
                <w:szCs w:val="21"/>
                <w:highlight w:val="yellow"/>
              </w:rPr>
              <w:t>结转数+财政收回数。</w:t>
            </w:r>
            <w:r>
              <w:rPr>
                <w:rFonts w:hint="eastAsia" w:eastAsia="楷体_GB2312"/>
                <w:b/>
                <w:color w:val="000000"/>
                <w:kern w:val="0"/>
                <w:sz w:val="21"/>
                <w:szCs w:val="21"/>
                <w:highlight w:val="yellow"/>
                <w:lang w:val="en-US" w:eastAsia="zh-CN"/>
              </w:rPr>
              <w:t>2</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类指标</w:t>
            </w:r>
            <w:r>
              <w:rPr>
                <w:rFonts w:hint="eastAsia" w:eastAsia="楷体_GB2312"/>
                <w:color w:val="000000"/>
                <w:kern w:val="0"/>
                <w:sz w:val="21"/>
                <w:szCs w:val="21"/>
                <w:highlight w:val="yellow"/>
                <w:lang w:eastAsia="zh-CN"/>
              </w:rPr>
              <w:t>每个指标的权重值固定</w:t>
            </w:r>
            <w:r>
              <w:rPr>
                <w:rFonts w:hint="eastAsia" w:eastAsia="楷体_GB2312"/>
                <w:color w:val="000000"/>
                <w:kern w:val="0"/>
                <w:sz w:val="21"/>
                <w:szCs w:val="21"/>
                <w:highlight w:val="yellow"/>
              </w:rPr>
              <w:t>，“产出”、“</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”指标权重值是根据指标数量将</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指标总</w:t>
            </w:r>
            <w:r>
              <w:rPr>
                <w:rFonts w:hint="eastAsia" w:eastAsia="楷体_GB2312"/>
                <w:color w:val="000000"/>
                <w:kern w:val="0"/>
                <w:sz w:val="21"/>
                <w:szCs w:val="21"/>
                <w:highlight w:val="yellow"/>
              </w:rPr>
              <w:t>分值分摊到各项指标，即各项指标分值=</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w:t>
            </w:r>
            <w:r>
              <w:rPr>
                <w:rFonts w:hint="eastAsia" w:eastAsia="楷体_GB2312"/>
                <w:color w:val="000000"/>
                <w:kern w:val="0"/>
                <w:sz w:val="21"/>
                <w:szCs w:val="21"/>
                <w:highlight w:val="yellow"/>
              </w:rPr>
              <w:t>总分值/</w:t>
            </w:r>
            <w:r>
              <w:rPr>
                <w:rFonts w:hint="eastAsia" w:eastAsia="楷体_GB2312"/>
                <w:color w:val="000000"/>
                <w:kern w:val="0"/>
                <w:sz w:val="21"/>
                <w:szCs w:val="21"/>
                <w:highlight w:val="yellow"/>
                <w:lang w:val="en-US" w:eastAsia="zh-CN"/>
              </w:rPr>
              <w:t>该类</w:t>
            </w:r>
            <w:r>
              <w:rPr>
                <w:rFonts w:hint="eastAsia" w:eastAsia="楷体_GB2312"/>
                <w:color w:val="000000"/>
                <w:kern w:val="0"/>
                <w:sz w:val="21"/>
                <w:szCs w:val="21"/>
                <w:highlight w:val="yellow"/>
              </w:rPr>
              <w:t>指标个数。</w:t>
            </w:r>
            <w:r>
              <w:rPr>
                <w:rFonts w:hint="eastAsia" w:eastAsia="楷体_GB2312"/>
                <w:b/>
                <w:color w:val="000000"/>
                <w:kern w:val="0"/>
                <w:sz w:val="21"/>
                <w:szCs w:val="21"/>
                <w:highlight w:val="yellow"/>
                <w:lang w:val="en-US" w:eastAsia="zh-CN"/>
              </w:rPr>
              <w:t>3</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各项数据采集的时间节点均为202</w:t>
            </w:r>
            <w:r>
              <w:rPr>
                <w:rFonts w:hint="eastAsia" w:eastAsia="楷体_GB2312"/>
                <w:color w:val="000000"/>
                <w:kern w:val="0"/>
                <w:sz w:val="21"/>
                <w:szCs w:val="21"/>
                <w:highlight w:val="yellow"/>
                <w:lang w:val="en-US" w:eastAsia="zh-CN"/>
              </w:rPr>
              <w:t>4</w:t>
            </w:r>
            <w:r>
              <w:rPr>
                <w:rFonts w:hint="eastAsia" w:eastAsia="楷体_GB2312"/>
                <w:color w:val="000000"/>
                <w:kern w:val="0"/>
                <w:sz w:val="21"/>
                <w:szCs w:val="21"/>
                <w:highlight w:val="yellow"/>
              </w:rPr>
              <w:t>年12月31日。</w:t>
            </w:r>
            <w:r>
              <w:rPr>
                <w:rFonts w:hint="eastAsia" w:eastAsia="楷体_GB2312"/>
                <w:b/>
                <w:color w:val="000000"/>
                <w:kern w:val="0"/>
                <w:sz w:val="21"/>
                <w:szCs w:val="21"/>
                <w:highlight w:val="yellow"/>
                <w:lang w:val="en-US" w:eastAsia="zh-CN"/>
              </w:rPr>
              <w:t>4</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定性指标</w:t>
            </w:r>
            <w:r>
              <w:rPr>
                <w:rFonts w:hint="eastAsia" w:eastAsia="楷体_GB2312"/>
                <w:color w:val="000000"/>
                <w:kern w:val="0"/>
                <w:sz w:val="21"/>
                <w:szCs w:val="21"/>
                <w:highlight w:val="yellow"/>
                <w:lang w:eastAsia="zh-CN"/>
              </w:rPr>
              <w:t>根据实际完成情况按照</w:t>
            </w:r>
            <w:r>
              <w:rPr>
                <w:rFonts w:hint="eastAsia" w:eastAsia="楷体_GB2312"/>
                <w:color w:val="000000"/>
                <w:kern w:val="0"/>
                <w:sz w:val="21"/>
                <w:szCs w:val="21"/>
                <w:highlight w:val="yellow"/>
              </w:rPr>
              <w:t>100%、80%、60%、40%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20%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lang w:val="en-US" w:eastAsia="zh-CN"/>
              </w:rPr>
              <w:t>0六级权重予以评分</w:t>
            </w:r>
            <w:r>
              <w:rPr>
                <w:rFonts w:hint="eastAsia" w:eastAsia="楷体_GB2312"/>
                <w:color w:val="000000"/>
                <w:kern w:val="0"/>
                <w:sz w:val="21"/>
                <w:szCs w:val="21"/>
                <w:highlight w:val="yellow"/>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”类指标以100%为满分</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”类每项指标的实际完成值对应预期设定的目标值，完成100%～200%得权重值满分，超过200%的每超过1%扣权重值1%；</w:t>
            </w:r>
            <w:r>
              <w:rPr>
                <w:rFonts w:hint="eastAsia" w:eastAsia="楷体_GB2312"/>
                <w:color w:val="000000"/>
                <w:kern w:val="0"/>
                <w:sz w:val="21"/>
                <w:szCs w:val="21"/>
                <w:highlight w:val="yellow"/>
                <w:lang w:eastAsia="zh-CN"/>
              </w:rPr>
              <w:t>五</w:t>
            </w:r>
            <w:r>
              <w:rPr>
                <w:rFonts w:hint="eastAsia" w:eastAsia="楷体_GB2312"/>
                <w:color w:val="000000"/>
                <w:kern w:val="0"/>
                <w:sz w:val="21"/>
                <w:szCs w:val="21"/>
                <w:highlight w:val="yellow"/>
              </w:rPr>
              <w:t>类指标的所有指标实际完成值每低于目标值1个百分点相应扣减权重值的5%；某项指标无法提供具体数值，且无说明，得0分。</w:t>
            </w:r>
          </w:p>
        </w:tc>
      </w:tr>
      <w:tr w14:paraId="27B7AC0B">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ADAF60A">
            <w:pPr>
              <w:jc w:val="center"/>
              <w:rPr>
                <w:rFonts w:cs="Arial"/>
                <w:b/>
                <w:bCs/>
                <w:color w:val="000000"/>
                <w:sz w:val="36"/>
                <w:szCs w:val="36"/>
              </w:rPr>
            </w:pPr>
            <w:r>
              <w:rPr>
                <w:rFonts w:hint="eastAsia" w:cs="Arial"/>
                <w:b/>
                <w:bCs/>
                <w:color w:val="000000"/>
                <w:sz w:val="36"/>
                <w:szCs w:val="36"/>
              </w:rPr>
              <w:t>项目基本情况</w:t>
            </w:r>
          </w:p>
        </w:tc>
      </w:tr>
      <w:tr w14:paraId="05CC8E7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51EC370">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00B450F">
            <w:pPr>
              <w:jc w:val="center"/>
              <w:rPr>
                <w:rFonts w:cs="Arial"/>
                <w:color w:val="000000"/>
                <w:sz w:val="22"/>
              </w:rPr>
            </w:pPr>
            <w:r>
              <w:rPr>
                <w:rFonts w:hint="eastAsia" w:cs="Arial"/>
                <w:color w:val="000000"/>
                <w:sz w:val="22"/>
              </w:rPr>
              <w:t>持续推动化工产业高质量发展</w:t>
            </w:r>
          </w:p>
        </w:tc>
      </w:tr>
      <w:tr w14:paraId="0E2ABE2C">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C368885">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E9FD9E9">
            <w:pPr>
              <w:jc w:val="center"/>
              <w:rPr>
                <w:rFonts w:cs="Arial"/>
                <w:color w:val="000000"/>
                <w:sz w:val="22"/>
              </w:rPr>
            </w:pPr>
            <w:r>
              <w:rPr>
                <w:rFonts w:hint="eastAsia" w:cs="Arial"/>
                <w:color w:val="000000"/>
                <w:sz w:val="22"/>
              </w:rPr>
              <w:t>坚持以习近平新时代中国特色社会主义思想为指导，深入学习贯彻党的二十大精神和习近平总书记对江苏工作的重要指示要求，牢固树立和自觉践行新发展理念，深入推进供给侧结构性改革，突出问题导向、标本兼治，强化系统推进、精准施策，综合运用法治化和市场化手段，依法依规推进化工产业安全环保整治提升，建设符合产业发展规律、循环发展和产业链完善的绿色安全、现代高端化工产业。</w:t>
            </w:r>
          </w:p>
        </w:tc>
      </w:tr>
      <w:tr w14:paraId="0ACDEFC8">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A1B20C3">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9DF171E">
            <w:pPr>
              <w:jc w:val="center"/>
              <w:rPr>
                <w:rFonts w:cs="Arial"/>
                <w:color w:val="000000"/>
                <w:sz w:val="22"/>
              </w:rPr>
            </w:pPr>
            <w:r>
              <w:rPr>
                <w:rFonts w:hint="eastAsia" w:cs="Arial"/>
                <w:color w:val="000000"/>
                <w:sz w:val="22"/>
              </w:rPr>
              <w:t>化工行业调研会商检查次数：≧12次；化工企业调研会商检查覆盖率：≧10%；开展调研会商检查及时性：及时；发现问题整改率：≧95%；企业对检查发现问题认可度：≧95%。</w:t>
            </w:r>
          </w:p>
        </w:tc>
      </w:tr>
      <w:tr w14:paraId="2305F58B">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DE71300">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D67EC01">
            <w:pPr>
              <w:jc w:val="center"/>
              <w:rPr>
                <w:rFonts w:cs="Arial"/>
                <w:color w:val="000000"/>
                <w:sz w:val="22"/>
              </w:rPr>
            </w:pPr>
            <w:r>
              <w:rPr>
                <w:rFonts w:hint="eastAsia" w:cs="Arial"/>
                <w:color w:val="000000"/>
                <w:sz w:val="22"/>
              </w:rPr>
              <w:t>持续推进化工（危化品）企业老旧装置更新改造、化工建设项目会商、化工重点监测点认定等常规工作，牵头组织开展江苏省化工行业“智改数转网联”园区行（苏州站）、苏州市“1030”产业沙龙化工新材料专场活动、化工新材料产业链先进技术应用供需对接会等活动。</w:t>
            </w:r>
          </w:p>
        </w:tc>
      </w:tr>
      <w:tr w14:paraId="4D52A4FA">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F10343A">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2551253">
            <w:pPr>
              <w:jc w:val="center"/>
              <w:rPr>
                <w:rFonts w:cs="Arial"/>
                <w:color w:val="000000"/>
                <w:sz w:val="22"/>
              </w:rPr>
            </w:pPr>
            <w:r>
              <w:rPr>
                <w:rFonts w:hint="eastAsia" w:cs="Arial"/>
                <w:color w:val="000000"/>
                <w:sz w:val="22"/>
              </w:rPr>
              <w:t>2024年，化工及石油业完成产值3833.8亿元，增长8.2%；完成利润总额300.8亿元，增长3%。市政府发文认定7家苏州市化工重点监测点；累计召开市级会商会4次，共会商通过9个项目；全市27家企业、54套装置纳入化工（危化品）企业省老旧装置更新改拟支持项目清单。</w:t>
            </w:r>
          </w:p>
        </w:tc>
      </w:tr>
      <w:tr w14:paraId="67D61F39">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48E4EA8">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4C8799D">
            <w:pPr>
              <w:jc w:val="center"/>
              <w:rPr>
                <w:rFonts w:cs="Arial"/>
                <w:color w:val="000000"/>
                <w:sz w:val="22"/>
              </w:rPr>
            </w:pPr>
            <w:r>
              <w:rPr>
                <w:rFonts w:hint="eastAsia" w:cs="Arial"/>
                <w:color w:val="000000"/>
                <w:sz w:val="22"/>
              </w:rPr>
              <w:t>无。</w:t>
            </w:r>
          </w:p>
        </w:tc>
      </w:tr>
      <w:tr w14:paraId="76D4574E">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02D1B08">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690A1B9">
            <w:pPr>
              <w:jc w:val="center"/>
              <w:rPr>
                <w:rFonts w:cs="Arial"/>
                <w:color w:val="000000"/>
                <w:sz w:val="22"/>
              </w:rPr>
            </w:pPr>
            <w:r>
              <w:rPr>
                <w:rFonts w:hint="eastAsia" w:cs="Arial"/>
                <w:color w:val="000000"/>
                <w:sz w:val="22"/>
              </w:rPr>
              <w:t>无。</w:t>
            </w:r>
          </w:p>
        </w:tc>
      </w:tr>
      <w:tr w14:paraId="7C88B5B4">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1E6C55E9">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4FE7678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4C7AF611">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524FE7CA">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44EDF019">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5651BAA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620A7C27">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764D29B7">
            <w:pPr>
              <w:rPr>
                <w:rFonts w:ascii="Arial" w:hAnsi="Arial" w:cs="Arial"/>
                <w:vanish/>
                <w:sz w:val="20"/>
                <w:szCs w:val="20"/>
              </w:rPr>
            </w:pPr>
          </w:p>
        </w:tc>
      </w:tr>
    </w:tbl>
    <w:p w14:paraId="046BBD9F"/>
    <w:p w14:paraId="5DAB6D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0D190D08"/>
    <w:rsid w:val="42F27272"/>
    <w:rsid w:val="5AE70A1F"/>
    <w:rsid w:val="7012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1618</Words>
  <Characters>1821</Characters>
  <Lines>12</Lines>
  <Paragraphs>3</Paragraphs>
  <TotalTime>1</TotalTime>
  <ScaleCrop>false</ScaleCrop>
  <LinksUpToDate>false</LinksUpToDate>
  <CharactersWithSpaces>1821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芽Q</cp:lastModifiedBy>
  <dcterms:modified xsi:type="dcterms:W3CDTF">2025-10-06T02:49:40Z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eyJoZGlkIjoiZDA5NzYxODQxMGY1MTU4Y2Q4NWE2YWMwMDlmODNjMjYiLCJ1c2VySWQiOiIzMTg5Mjc3MzAifQ==</vt:lpwstr>
  </property>
  <property fmtid="{D5CDD505-2E9C-101B-9397-08002B2CF9AE}" pid="3" name="KSOProductBuildVer">
    <vt:lpwstr>2052-12.1.0.22529</vt:lpwstr>
  </property>
  <property fmtid="{D5CDD505-2E9C-101B-9397-08002B2CF9AE}" pid="4" name="ICV">
    <vt:lpwstr>9F669C4FED13413589140FF1E65A5D7A_12</vt:lpwstr>
  </property>
</Properties>
</file>